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59C54">
      <w:pPr>
        <w:spacing w:after="0" w:line="240" w:lineRule="auto"/>
        <w:rPr>
          <w:rFonts w:ascii="Times New Roman" w:hAnsi="Times New Roman"/>
          <w:b/>
          <w:sz w:val="28"/>
          <w:szCs w:val="28"/>
          <w:lang w:val="en-US" w:eastAsia="ru-RU"/>
        </w:rPr>
      </w:pPr>
    </w:p>
    <w:p w14:paraId="3D2B8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S</w:t>
      </w:r>
      <w:r>
        <w:rPr>
          <w:rFonts w:ascii="Times New Roman" w:hAnsi="Times New Roman"/>
          <w:b/>
          <w:sz w:val="28"/>
          <w:szCs w:val="28"/>
          <w:lang w:eastAsia="ru-RU"/>
        </w:rPr>
        <w:t>uppleme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tary </w:t>
      </w:r>
      <w:r>
        <w:rPr>
          <w:rFonts w:hint="default" w:ascii="Times New Roman" w:hAnsi="Times New Roman"/>
          <w:b/>
          <w:sz w:val="28"/>
          <w:szCs w:val="28"/>
          <w:lang w:val="en-US" w:eastAsia="ru-RU"/>
        </w:rPr>
        <w:t>M</w:t>
      </w:r>
      <w:r>
        <w:rPr>
          <w:rFonts w:ascii="Times New Roman" w:hAnsi="Times New Roman"/>
          <w:b/>
          <w:sz w:val="28"/>
          <w:szCs w:val="28"/>
          <w:lang w:eastAsia="ru-RU"/>
        </w:rPr>
        <w:t>aterials</w:t>
      </w:r>
    </w:p>
    <w:p w14:paraId="6F98FA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A12F605">
      <w:pPr>
        <w:pStyle w:val="5"/>
        <w:widowControl/>
        <w:spacing w:before="360" w:beforeAutospacing="0"/>
        <w:rPr>
          <w:rFonts w:hint="default" w:ascii="BalticaCTT" w:hAnsi="BalticaCTT" w:eastAsia="BalticaCTT" w:cs="BalticaCTT"/>
          <w:bCs/>
          <w:szCs w:val="30"/>
          <w:lang w:val="en-US"/>
        </w:rPr>
      </w:pPr>
      <w:bookmarkStart w:id="0" w:name="OLE_LINK39"/>
      <w:bookmarkStart w:id="1" w:name="OLE_LINK38"/>
      <w:r>
        <w:rPr>
          <w:rFonts w:hint="default" w:ascii="BalticaCTT" w:hAnsi="BalticaCTT" w:eastAsia="BalticaCTT" w:cs="Arial"/>
          <w:bCs/>
          <w:szCs w:val="32"/>
          <w:lang w:val="en-US"/>
        </w:rPr>
        <w:t xml:space="preserve">The Smart Photosensitizer Chlorin </w:t>
      </w:r>
      <w:r>
        <w:rPr>
          <w:rFonts w:hint="default" w:ascii="BalticaCTT" w:hAnsi="BalticaCTT" w:eastAsia="BalticaCTT" w:cs="Arial"/>
          <w:bCs/>
          <w:i/>
          <w:iCs w:val="0"/>
          <w:szCs w:val="32"/>
          <w:lang w:val="en-US"/>
        </w:rPr>
        <w:t>e</w:t>
      </w:r>
      <w:r>
        <w:rPr>
          <w:rFonts w:hint="default" w:ascii="BalticaCTT" w:hAnsi="BalticaCTT" w:eastAsia="BalticaCTT" w:cs="Arial"/>
          <w:bCs/>
          <w:i/>
          <w:iCs w:val="0"/>
          <w:szCs w:val="32"/>
          <w:vertAlign w:val="subscript"/>
          <w:lang w:val="en-US"/>
        </w:rPr>
        <w:t>6</w:t>
      </w:r>
      <w:r>
        <w:rPr>
          <w:rFonts w:hint="default" w:ascii="BalticaCTT" w:hAnsi="BalticaCTT" w:eastAsia="BalticaCTT" w:cs="Arial"/>
          <w:bCs/>
          <w:szCs w:val="32"/>
          <w:vertAlign w:val="subscript"/>
          <w:lang w:val="en-US"/>
        </w:rPr>
        <w:t xml:space="preserve"> </w:t>
      </w:r>
      <w:r>
        <w:rPr>
          <w:rFonts w:hint="default" w:ascii="BalticaCTT" w:hAnsi="BalticaCTT" w:eastAsia="BalticaCTT" w:cs="Arial"/>
          <w:bCs/>
          <w:szCs w:val="32"/>
          <w:lang w:val="en-US"/>
        </w:rPr>
        <w:t>(Fotoditazin</w:t>
      </w:r>
      <w:r>
        <w:rPr>
          <w:rFonts w:hint="default" w:ascii="BalticaCTT" w:hAnsi="BalticaCTT" w:eastAsia="BalticaCTT" w:cs="Arial"/>
          <w:bCs/>
          <w:szCs w:val="32"/>
          <w:vertAlign w:val="superscript"/>
          <w:lang w:val="en-US"/>
        </w:rPr>
        <w:t>®</w:t>
      </w:r>
      <w:r>
        <w:rPr>
          <w:rFonts w:hint="default" w:ascii="BalticaCTT" w:hAnsi="BalticaCTT" w:eastAsia="BalticaCTT" w:cs="Arial"/>
          <w:bCs/>
          <w:szCs w:val="32"/>
          <w:lang w:val="en-US"/>
        </w:rPr>
        <w:t xml:space="preserve">): </w:t>
      </w:r>
      <w:r>
        <w:rPr>
          <w:rFonts w:hint="default" w:ascii="BalticaCTT" w:hAnsi="BalticaCTT" w:eastAsia="BalticaCTT" w:cs="BalticaCTT"/>
          <w:lang w:val="en-US"/>
        </w:rPr>
        <w:br w:type="textWrapping"/>
      </w:r>
      <w:r>
        <w:rPr>
          <w:rFonts w:hint="default" w:ascii="BalticaCTT" w:hAnsi="BalticaCTT" w:eastAsia="BalticaCTT" w:cs="Arial"/>
          <w:bCs/>
          <w:szCs w:val="32"/>
          <w:lang w:val="en-US"/>
        </w:rPr>
        <w:t>the Role of Acid-Base Ionization</w:t>
      </w:r>
    </w:p>
    <w:bookmarkEnd w:id="0"/>
    <w:bookmarkEnd w:id="1"/>
    <w:p w14:paraId="7BDE01FD">
      <w:pPr>
        <w:pStyle w:val="5"/>
        <w:widowControl/>
        <w:spacing w:before="120" w:beforeAutospacing="0" w:after="0" w:afterAutospacing="0" w:line="244" w:lineRule="auto"/>
        <w:ind w:left="0" w:right="0"/>
        <w:jc w:val="right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8"/>
          <w:lang w:val="en-US"/>
        </w:rPr>
        <w:t xml:space="preserve">DOI: </w:t>
      </w:r>
      <w:r>
        <w:rPr>
          <w:rFonts w:hint="default" w:ascii="Times New Roman" w:hAnsi="Times New Roman" w:cs="Times New Roman"/>
          <w:b w:val="0"/>
          <w:bCs/>
          <w:sz w:val="20"/>
          <w:szCs w:val="28"/>
          <w:lang w:val="en-US"/>
        </w:rPr>
        <w:t>10.6060/mhc256738s</w:t>
      </w:r>
    </w:p>
    <w:p w14:paraId="56C32985">
      <w:pPr>
        <w:keepNext w:val="0"/>
        <w:keepLines w:val="0"/>
        <w:widowControl/>
        <w:suppressLineNumbers w:val="0"/>
        <w:jc w:val="left"/>
      </w:pPr>
      <w:r>
        <w:rPr>
          <w:rFonts w:hint="default" w:ascii="Baltica" w:hAnsi="Baltica" w:eastAsia="Times New Roman" w:cs="Times New Roman"/>
          <w:kern w:val="0"/>
          <w:sz w:val="24"/>
          <w:szCs w:val="20"/>
          <w:lang w:val="en-US" w:eastAsia="ru" w:bidi="ar"/>
        </w:rPr>
        <w:t>Vladimir B. Sheinin,</w:t>
      </w:r>
      <w:bookmarkStart w:id="3" w:name="_GoBack"/>
      <w:bookmarkEnd w:id="3"/>
      <w:r>
        <w:rPr>
          <w:rFonts w:hint="default" w:ascii="Baltica" w:hAnsi="Baltica" w:eastAsia="Times New Roman" w:cs="Times New Roman"/>
          <w:kern w:val="0"/>
          <w:sz w:val="24"/>
          <w:szCs w:val="20"/>
          <w:lang w:val="en-US" w:eastAsia="ru" w:bidi="ar"/>
        </w:rPr>
        <w:t xml:space="preserve"> and Olga M. Kulikova</w:t>
      </w:r>
    </w:p>
    <w:p w14:paraId="653F0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9190725">
      <w:pPr>
        <w:spacing w:after="0" w:line="240" w:lineRule="auto"/>
        <w:rPr>
          <w:rFonts w:ascii="Times New Roman" w:hAnsi="Times New Roman"/>
          <w:b/>
          <w:sz w:val="24"/>
          <w:szCs w:val="24"/>
          <w:highlight w:val="green"/>
          <w:lang w:eastAsia="ru-RU"/>
        </w:rPr>
      </w:pPr>
    </w:p>
    <w:p w14:paraId="04FD1E0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392"/>
        <w:gridCol w:w="2392"/>
        <w:gridCol w:w="2396"/>
      </w:tblGrid>
      <w:tr w14:paraId="6551B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78E4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439545" cy="1471930"/>
                  <wp:effectExtent l="0" t="0" r="825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7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9510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436370" cy="146875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400" cy="146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511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432560" cy="147193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147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ABBE5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450340" cy="147574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800" cy="147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8C8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A873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436370" cy="1468755"/>
                  <wp:effectExtent l="0" t="0" r="0" b="0"/>
                  <wp:docPr id="1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400" cy="146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19B6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439545" cy="1471930"/>
                  <wp:effectExtent l="0" t="0" r="8255" b="0"/>
                  <wp:docPr id="1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25E7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439545" cy="1471930"/>
                  <wp:effectExtent l="0" t="0" r="8255" b="0"/>
                  <wp:docPr id="1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40000" cy="14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D312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439545" cy="1471930"/>
                  <wp:effectExtent l="0" t="0" r="8255" b="0"/>
                  <wp:docPr id="1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40000" cy="14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B0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4E47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Por</w:t>
            </w:r>
          </w:p>
        </w:tc>
        <w:tc>
          <w:tcPr>
            <w:tcW w:w="0" w:type="auto"/>
          </w:tcPr>
          <w:p w14:paraId="4AADC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63556795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Por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  <w:bookmarkEnd w:id="2"/>
          </w:p>
        </w:tc>
        <w:tc>
          <w:tcPr>
            <w:tcW w:w="0" w:type="auto"/>
          </w:tcPr>
          <w:p w14:paraId="080F5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hl</w:t>
            </w:r>
          </w:p>
        </w:tc>
        <w:tc>
          <w:tcPr>
            <w:tcW w:w="0" w:type="auto"/>
          </w:tcPr>
          <w:p w14:paraId="4FF79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hl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</w:tr>
    </w:tbl>
    <w:p w14:paraId="246CF25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4EC0C0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Figure S1.  </w:t>
      </w:r>
      <w:r>
        <w:rPr>
          <w:rFonts w:ascii="Times New Roman" w:hAnsi="Times New Roman"/>
          <w:sz w:val="24"/>
          <w:szCs w:val="24"/>
          <w:lang w:val="en-US" w:eastAsia="ru-RU"/>
        </w:rPr>
        <w:t>DFT-calculated geometry of porphine, chlorin and their monoprotonated forms. Dashed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line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highlights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the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bifurcate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IMHB</w:t>
      </w:r>
    </w:p>
    <w:p w14:paraId="0299F2B0"/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22"/>
        <w:gridCol w:w="222"/>
        <w:gridCol w:w="2496"/>
      </w:tblGrid>
      <w:tr w14:paraId="1FCD1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6FFF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382395" cy="1439545"/>
                  <wp:effectExtent l="0" t="0" r="8255" b="825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6" t="585" r="9622" b="9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4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C737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FAD5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60599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447165" cy="1536700"/>
                  <wp:effectExtent l="0" t="0" r="635" b="635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200" cy="153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CBF3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E4532D3">
      <w:pPr>
        <w:spacing w:after="0" w:line="240" w:lineRule="auto"/>
        <w:rPr>
          <w:rFonts w:ascii="Times New Roman" w:hAnsi="Times New Roman"/>
          <w:b/>
          <w:sz w:val="24"/>
          <w:szCs w:val="24"/>
          <w:highlight w:val="green"/>
          <w:lang w:eastAsia="ru-RU"/>
        </w:rPr>
      </w:pPr>
    </w:p>
    <w:p w14:paraId="2FBB86EB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Figure S2. 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DFT-calculated geometry of 1,3-alternate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4</w:t>
      </w:r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hl</w:t>
      </w:r>
      <w:r>
        <w:rPr>
          <w:rFonts w:ascii="Times New Roman" w:hAnsi="Times New Roman"/>
          <w:bCs/>
          <w:sz w:val="24"/>
          <w:szCs w:val="24"/>
          <w:vertAlign w:val="superscript"/>
          <w:lang w:val="en-US" w:eastAsia="ru-RU"/>
        </w:rPr>
        <w:t>2+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 xml:space="preserve">. Bifurcated IMHB are absent. </w:t>
      </w:r>
    </w:p>
    <w:p w14:paraId="4833BD09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14:paraId="12217733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lang w:eastAsia="ru-RU"/>
        </w:rPr>
        <w:drawing>
          <wp:inline distT="0" distB="0" distL="0" distR="0">
            <wp:extent cx="3056255" cy="43199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3056255" cy="43199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3056255" cy="43199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4"/>
          <w:szCs w:val="24"/>
          <w:lang w:eastAsia="ru-RU"/>
        </w:rPr>
        <w:drawing>
          <wp:inline distT="0" distB="0" distL="0" distR="0">
            <wp:extent cx="3056255" cy="431990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9A01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highlight w:val="green"/>
          <w:lang w:eastAsia="ru-RU"/>
        </w:rPr>
      </w:pPr>
    </w:p>
    <w:p w14:paraId="73F08D71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Figure S3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. The optical spectra of H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е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 xml:space="preserve">6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d.m.s in saline solution (black) and H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е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 xml:space="preserve">6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t.a.s. in methanol (marengo) with H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 xml:space="preserve"> (a,b) and H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r>
        <w:rPr>
          <w:rFonts w:ascii="Times New Roman" w:hAnsi="Times New Roman"/>
          <w:bCs/>
          <w:sz w:val="24"/>
          <w:szCs w:val="24"/>
          <w:vertAlign w:val="superscript"/>
          <w:lang w:val="en-US" w:eastAsia="ru-RU"/>
        </w:rPr>
        <w:t>+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(c,d). UV-Vis spectra are aligned to Q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 xml:space="preserve">1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bands.</w:t>
      </w:r>
    </w:p>
    <w:p w14:paraId="6E6F11C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ED0EDA8">
      <w:pPr>
        <w:ind w:left="-426"/>
      </w:pPr>
      <w:r>
        <w:rPr>
          <w:lang w:eastAsia="ru-RU"/>
        </w:rPr>
        <w:drawing>
          <wp:inline distT="0" distB="0" distL="0" distR="0">
            <wp:extent cx="3056255" cy="431990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drawing>
          <wp:inline distT="0" distB="0" distL="0" distR="0">
            <wp:extent cx="3056255" cy="431990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564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8B4D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Figure S4.  </w:t>
      </w:r>
      <w:r>
        <w:rPr>
          <w:rFonts w:ascii="Times New Roman" w:hAnsi="Times New Roman"/>
          <w:sz w:val="24"/>
          <w:szCs w:val="24"/>
          <w:lang w:val="en-US"/>
        </w:rPr>
        <w:t xml:space="preserve">Concentration dependence of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е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6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 xml:space="preserve"> d.m.s.</w:t>
      </w:r>
      <w:r>
        <w:rPr>
          <w:rFonts w:ascii="Times New Roman" w:hAnsi="Times New Roman"/>
          <w:sz w:val="24"/>
          <w:szCs w:val="24"/>
          <w:lang w:val="en-US"/>
        </w:rPr>
        <w:t xml:space="preserve"> (Fotoditazin®)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absorption in PBS/7.7 at 25°C.</w:t>
      </w:r>
    </w:p>
    <w:p w14:paraId="717AFF34">
      <w:pPr>
        <w:rPr>
          <w:rFonts w:ascii="Times New Roman" w:hAnsi="Times New Roman"/>
          <w:sz w:val="24"/>
          <w:szCs w:val="24"/>
          <w:lang w:val="en-US"/>
        </w:rPr>
      </w:pPr>
    </w:p>
    <w:p w14:paraId="21E75E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inline distT="0" distB="0" distL="0" distR="0">
            <wp:extent cx="5940425" cy="4148455"/>
            <wp:effectExtent l="0" t="0" r="3175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B289"/>
    <w:p w14:paraId="0D16E7DF"/>
    <w:p w14:paraId="5CAF888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514E4ED">
      <w:r>
        <w:rPr>
          <w:lang w:eastAsia="ru-RU"/>
        </w:rPr>
        <w:drawing>
          <wp:inline distT="0" distB="0" distL="0" distR="0">
            <wp:extent cx="5940425" cy="41484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420C">
      <w:r>
        <w:rPr>
          <w:lang w:eastAsia="ru-RU"/>
        </w:rPr>
        <w:drawing>
          <wp:inline distT="0" distB="0" distL="0" distR="0">
            <wp:extent cx="5940425" cy="4148455"/>
            <wp:effectExtent l="0" t="0" r="3175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59A0F">
      <w:r>
        <w:rPr>
          <w:lang w:eastAsia="ru-RU"/>
        </w:rPr>
        <w:drawing>
          <wp:inline distT="0" distB="0" distL="0" distR="0">
            <wp:extent cx="5940425" cy="4148455"/>
            <wp:effectExtent l="0" t="0" r="3175" b="44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A0A5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Figure S5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. Changes in the optical spectra when protonation of H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 xml:space="preserve"> of H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Chl</w:t>
      </w:r>
      <w:r>
        <w:rPr>
          <w:rFonts w:ascii="Times New Roman" w:hAnsi="Times New Roman"/>
          <w:bCs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е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6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 xml:space="preserve"> d.m.s. with sulfuric acid at 36.6 </w:t>
      </w:r>
      <w:r>
        <w:rPr>
          <w:rFonts w:ascii="Times New Roman" w:hAnsi="Times New Roman"/>
          <w:bCs/>
          <w:sz w:val="24"/>
          <w:szCs w:val="24"/>
          <w:vertAlign w:val="superscript"/>
          <w:lang w:val="en-US" w:eastAsia="ru-RU"/>
        </w:rPr>
        <w:t>o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C in the saline solution. a,b- first protonation step (arrows show the position of isosbestic and isoemission points); c, d –  second protonation step (there are no isobestic and isoemission points). Green line-start, blue line-finish</w:t>
      </w:r>
    </w:p>
    <w:p w14:paraId="23789AF9">
      <w:pPr>
        <w:spacing w:after="0" w:line="240" w:lineRule="auto"/>
        <w:ind w:left="-284"/>
        <w:jc w:val="both"/>
        <w:rPr>
          <w:lang w:val="en-US"/>
        </w:rPr>
      </w:pPr>
      <w:r>
        <w:rPr>
          <w:lang w:eastAsia="ru-RU"/>
        </w:rPr>
        <w:drawing>
          <wp:inline distT="0" distB="0" distL="0" distR="0">
            <wp:extent cx="2674620" cy="37795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748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ru-RU"/>
        </w:rPr>
        <w:t xml:space="preserve"> </w:t>
      </w:r>
      <w:r>
        <w:rPr>
          <w:lang w:eastAsia="ru-RU"/>
        </w:rPr>
        <w:drawing>
          <wp:inline distT="0" distB="0" distL="0" distR="0">
            <wp:extent cx="2656205" cy="3804920"/>
            <wp:effectExtent l="0" t="0" r="0" b="508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56800" cy="38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32632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r>
        <w:rPr>
          <w:lang w:eastAsia="ru-RU"/>
        </w:rPr>
        <w:drawing>
          <wp:inline distT="0" distB="0" distL="0" distR="0">
            <wp:extent cx="2656205" cy="3804920"/>
            <wp:effectExtent l="0" t="0" r="0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56800" cy="38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drawing>
          <wp:inline distT="0" distB="0" distL="0" distR="0">
            <wp:extent cx="2656205" cy="3804920"/>
            <wp:effectExtent l="0" t="0" r="0" b="508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56800" cy="38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D28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Figure S6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. The results of spectropotentiometric titration of H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>е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6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 xml:space="preserve"> t.a.s with sulfuric acid in saline solution at 36.6</w:t>
      </w:r>
      <w:r>
        <w:rPr>
          <w:rFonts w:ascii="Times New Roman" w:hAnsi="Times New Roman"/>
          <w:bCs/>
          <w:sz w:val="24"/>
          <w:szCs w:val="24"/>
          <w:vertAlign w:val="superscript"/>
          <w:lang w:val="en-US" w:eastAsia="ru-RU"/>
        </w:rPr>
        <w:t>o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C. First protonation step of H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2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C is shown in olive color, and the second region of titration curve is shown in green. The red line shows the titration curves obtained by fitting the parameters in Equation (6).</w:t>
      </w:r>
    </w:p>
    <w:p w14:paraId="4A0502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</w:p>
    <w:p w14:paraId="019C52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</w:p>
    <w:p w14:paraId="166660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  <w:gridCol w:w="630"/>
      </w:tblGrid>
      <w:tr w14:paraId="06D4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vAlign w:val="center"/>
          </w:tcPr>
          <w:p w14:paraId="708C24F4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position w:val="-30"/>
              </w:rPr>
              <w:object>
                <v:shape id="_x0000_i1025" o:spt="75" type="#_x0000_t75" style="height:31.5pt;width:414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30">
                  <o:LockedField>false</o:LockedField>
                </o:OLEObject>
              </w:object>
            </w:r>
          </w:p>
        </w:tc>
        <w:tc>
          <w:tcPr>
            <w:tcW w:w="607" w:type="dxa"/>
            <w:vAlign w:val="center"/>
          </w:tcPr>
          <w:p w14:paraId="4B729BED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(S1)</w:t>
            </w:r>
          </w:p>
        </w:tc>
      </w:tr>
      <w:tr w14:paraId="0B7B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vAlign w:val="center"/>
          </w:tcPr>
          <w:p w14:paraId="28F8397B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position w:val="-30"/>
              </w:rPr>
              <w:object>
                <v:shape id="_x0000_i1026" o:spt="75" type="#_x0000_t75" style="height:33pt;width:413.2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32">
                  <o:LockedField>false</o:LockedField>
                </o:OLEObject>
              </w:object>
            </w:r>
          </w:p>
        </w:tc>
        <w:tc>
          <w:tcPr>
            <w:tcW w:w="607" w:type="dxa"/>
            <w:vAlign w:val="center"/>
          </w:tcPr>
          <w:p w14:paraId="55C1EBB0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(S2)</w:t>
            </w:r>
          </w:p>
        </w:tc>
      </w:tr>
      <w:tr w14:paraId="0AEC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vAlign w:val="center"/>
          </w:tcPr>
          <w:p w14:paraId="22D4171C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position w:val="-30"/>
              </w:rPr>
              <w:object>
                <v:shape id="_x0000_i1027" o:spt="75" type="#_x0000_t75" style="height:33pt;width:410.25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34">
                  <o:LockedField>false</o:LockedField>
                </o:OLEObject>
              </w:object>
            </w:r>
          </w:p>
        </w:tc>
        <w:tc>
          <w:tcPr>
            <w:tcW w:w="607" w:type="dxa"/>
            <w:vAlign w:val="center"/>
          </w:tcPr>
          <w:p w14:paraId="3D874EF6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(S3)</w:t>
            </w:r>
          </w:p>
        </w:tc>
      </w:tr>
      <w:tr w14:paraId="3083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vAlign w:val="center"/>
          </w:tcPr>
          <w:p w14:paraId="4023DE54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position w:val="-30"/>
              </w:rPr>
              <w:object>
                <v:shape id="_x0000_i1028" o:spt="75" type="#_x0000_t75" style="height:33pt;width:410.2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36">
                  <o:LockedField>false</o:LockedField>
                </o:OLEObject>
              </w:object>
            </w:r>
          </w:p>
        </w:tc>
        <w:tc>
          <w:tcPr>
            <w:tcW w:w="607" w:type="dxa"/>
            <w:vAlign w:val="center"/>
          </w:tcPr>
          <w:p w14:paraId="3B150592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(S4)</w:t>
            </w:r>
          </w:p>
        </w:tc>
      </w:tr>
      <w:tr w14:paraId="0CAD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vAlign w:val="center"/>
          </w:tcPr>
          <w:p w14:paraId="422CA1D1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position w:val="-30"/>
              </w:rPr>
              <w:object>
                <v:shape id="_x0000_i1029" o:spt="75" type="#_x0000_t75" style="height:33pt;width:410.25pt;" o:ole="t" filled="f" o:preferrelative="t" stroked="f" coordsize="21600,21600">
                  <v:path/>
                  <v:fill on="f" focussize="0,0"/>
                  <v:stroke on="f" joinstyle="miter"/>
                  <v:imagedata r:id="rId39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38">
                  <o:LockedField>false</o:LockedField>
                </o:OLEObject>
              </w:object>
            </w:r>
          </w:p>
        </w:tc>
        <w:tc>
          <w:tcPr>
            <w:tcW w:w="607" w:type="dxa"/>
            <w:vAlign w:val="center"/>
          </w:tcPr>
          <w:p w14:paraId="454895F5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(S5)</w:t>
            </w:r>
          </w:p>
        </w:tc>
      </w:tr>
    </w:tbl>
    <w:p w14:paraId="7FABF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39EF4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inline distT="0" distB="0" distL="0" distR="0">
            <wp:extent cx="5940425" cy="4148455"/>
            <wp:effectExtent l="0" t="0" r="3175" b="444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C04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</w:p>
    <w:p w14:paraId="243E08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Figure S7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 xml:space="preserve">. UV-Vis spectra of the chlorin </w:t>
      </w:r>
      <w:r>
        <w:rPr>
          <w:rFonts w:ascii="Times New Roman" w:hAnsi="Times New Roman"/>
          <w:bCs/>
          <w:i/>
          <w:sz w:val="24"/>
          <w:szCs w:val="24"/>
          <w:lang w:val="en-US" w:eastAsia="ru-RU"/>
        </w:rPr>
        <w:t>e</w:t>
      </w:r>
      <w:r>
        <w:rPr>
          <w:rFonts w:ascii="Times New Roman" w:hAnsi="Times New Roman"/>
          <w:bCs/>
          <w:sz w:val="24"/>
          <w:szCs w:val="24"/>
          <w:vertAlign w:val="subscript"/>
          <w:lang w:val="en-US" w:eastAsia="ru-RU"/>
        </w:rPr>
        <w:t>6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 xml:space="preserve"> interfacial distribution between octanol-1 (solid line) and PBS/pH5 (dotted line).</w:t>
      </w:r>
    </w:p>
    <w:p w14:paraId="7AE905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eastAsia="ru-RU"/>
        </w:rPr>
      </w:pPr>
    </w:p>
    <w:p w14:paraId="54DC41B1">
      <w:pPr>
        <w:ind w:left="-1134"/>
        <w:jc w:val="center"/>
        <w:rPr>
          <w:rFonts w:ascii="Times New Roman" w:hAnsi="Times New Roman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CC"/>
    <w:family w:val="auto"/>
    <w:pitch w:val="variable"/>
    <w:sig w:usb0="E00006FF" w:usb1="420024FF" w:usb2="02000000" w:usb3="00000000" w:csb0="2000019F" w:csb1="00000000"/>
  </w:font>
  <w:font w:name="BalticaCTT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Baltica">
    <w:panose1 w:val="020B0604020202020204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CE"/>
    <w:rsid w:val="00063495"/>
    <w:rsid w:val="00065380"/>
    <w:rsid w:val="000F1DB4"/>
    <w:rsid w:val="00155BD6"/>
    <w:rsid w:val="00170B35"/>
    <w:rsid w:val="00192569"/>
    <w:rsid w:val="001F3225"/>
    <w:rsid w:val="002325FF"/>
    <w:rsid w:val="002B018E"/>
    <w:rsid w:val="002C4C7A"/>
    <w:rsid w:val="00352916"/>
    <w:rsid w:val="0035587D"/>
    <w:rsid w:val="003F2E2E"/>
    <w:rsid w:val="00443873"/>
    <w:rsid w:val="0045611E"/>
    <w:rsid w:val="004D7EAD"/>
    <w:rsid w:val="004E0A04"/>
    <w:rsid w:val="004E370B"/>
    <w:rsid w:val="00576968"/>
    <w:rsid w:val="00591377"/>
    <w:rsid w:val="005A6D6F"/>
    <w:rsid w:val="005F4795"/>
    <w:rsid w:val="0060530D"/>
    <w:rsid w:val="006819B4"/>
    <w:rsid w:val="0068486B"/>
    <w:rsid w:val="006D79ED"/>
    <w:rsid w:val="006E1CC5"/>
    <w:rsid w:val="007B6EDF"/>
    <w:rsid w:val="008274CE"/>
    <w:rsid w:val="00827B88"/>
    <w:rsid w:val="00843343"/>
    <w:rsid w:val="0085273A"/>
    <w:rsid w:val="00855567"/>
    <w:rsid w:val="008650DA"/>
    <w:rsid w:val="008C168C"/>
    <w:rsid w:val="009000E2"/>
    <w:rsid w:val="00946517"/>
    <w:rsid w:val="00952960"/>
    <w:rsid w:val="009E2ABB"/>
    <w:rsid w:val="00A6676F"/>
    <w:rsid w:val="00A703A7"/>
    <w:rsid w:val="00A9241A"/>
    <w:rsid w:val="00A95E7E"/>
    <w:rsid w:val="00AA6923"/>
    <w:rsid w:val="00BA1CDA"/>
    <w:rsid w:val="00BC0423"/>
    <w:rsid w:val="00C5169B"/>
    <w:rsid w:val="00C65DEA"/>
    <w:rsid w:val="00D00AF3"/>
    <w:rsid w:val="00D50C02"/>
    <w:rsid w:val="00D8005E"/>
    <w:rsid w:val="00DC4E1E"/>
    <w:rsid w:val="00E65A7C"/>
    <w:rsid w:val="00EA141A"/>
    <w:rsid w:val="00F23DC9"/>
    <w:rsid w:val="00F25F5E"/>
    <w:rsid w:val="00F40442"/>
    <w:rsid w:val="00F51E4F"/>
    <w:rsid w:val="00F63204"/>
    <w:rsid w:val="00FA1B86"/>
    <w:rsid w:val="3F07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Times New Roman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HC-title"/>
    <w:uiPriority w:val="0"/>
    <w:pPr>
      <w:keepNext w:val="0"/>
      <w:keepLines w:val="0"/>
      <w:widowControl/>
      <w:suppressLineNumbers w:val="0"/>
      <w:tabs>
        <w:tab w:val="left" w:pos="2837"/>
      </w:tabs>
      <w:spacing w:before="480" w:beforeAutospacing="0" w:after="240" w:afterAutospacing="0"/>
      <w:ind w:left="0" w:right="0"/>
      <w:jc w:val="left"/>
    </w:pPr>
    <w:rPr>
      <w:rFonts w:hint="default" w:ascii="Baltica" w:hAnsi="Baltica" w:eastAsia="Times New Roman" w:cs="Times New Roman"/>
      <w:b/>
      <w:kern w:val="0"/>
      <w:sz w:val="3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1" Type="http://schemas.openxmlformats.org/officeDocument/2006/relationships/fontTable" Target="fontTable.xml"/><Relationship Id="rId40" Type="http://schemas.openxmlformats.org/officeDocument/2006/relationships/image" Target="media/image30.png"/><Relationship Id="rId4" Type="http://schemas.openxmlformats.org/officeDocument/2006/relationships/endnotes" Target="endnotes.xml"/><Relationship Id="rId39" Type="http://schemas.openxmlformats.org/officeDocument/2006/relationships/image" Target="media/image29.wmf"/><Relationship Id="rId38" Type="http://schemas.openxmlformats.org/officeDocument/2006/relationships/oleObject" Target="embeddings/oleObject5.bin"/><Relationship Id="rId37" Type="http://schemas.openxmlformats.org/officeDocument/2006/relationships/image" Target="media/image28.wmf"/><Relationship Id="rId36" Type="http://schemas.openxmlformats.org/officeDocument/2006/relationships/oleObject" Target="embeddings/oleObject4.bin"/><Relationship Id="rId35" Type="http://schemas.openxmlformats.org/officeDocument/2006/relationships/image" Target="media/image27.wmf"/><Relationship Id="rId34" Type="http://schemas.openxmlformats.org/officeDocument/2006/relationships/oleObject" Target="embeddings/oleObject3.bin"/><Relationship Id="rId33" Type="http://schemas.openxmlformats.org/officeDocument/2006/relationships/image" Target="media/image26.wmf"/><Relationship Id="rId32" Type="http://schemas.openxmlformats.org/officeDocument/2006/relationships/oleObject" Target="embeddings/oleObject2.bin"/><Relationship Id="rId31" Type="http://schemas.openxmlformats.org/officeDocument/2006/relationships/image" Target="media/image25.wmf"/><Relationship Id="rId30" Type="http://schemas.openxmlformats.org/officeDocument/2006/relationships/oleObject" Target="embeddings/oleObject1.bin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251</Words>
  <Characters>1431</Characters>
  <Lines>11</Lines>
  <Paragraphs>3</Paragraphs>
  <TotalTime>1</TotalTime>
  <ScaleCrop>false</ScaleCrop>
  <LinksUpToDate>false</LinksUpToDate>
  <CharactersWithSpaces>1679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2025-09-02T15:50:00Z</dcterms:created>
  <dc:creator>VBS</dc:creator>
  <cp:lastModifiedBy>ПАС</cp:lastModifiedBy>
  <dcterms:modified xsi:type="dcterms:W3CDTF">2025-12-27T08:56:56Z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5593F9F9E60B4FEA9BFEDD9127F47369_12</vt:lpwstr>
  </property>
</Properties>
</file>