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1C9" w:rsidRDefault="00BA21C9" w:rsidP="00683E53">
      <w:pPr>
        <w:spacing w:after="100" w:line="312" w:lineRule="auto"/>
        <w:jc w:val="center"/>
        <w:rPr>
          <w:lang w:val="en-US"/>
        </w:rPr>
      </w:pPr>
      <w:r>
        <w:rPr>
          <w:lang w:val="en-US"/>
        </w:rPr>
        <w:t>Electronic supporting information for</w:t>
      </w:r>
    </w:p>
    <w:p w:rsidR="00683E53" w:rsidRPr="00DB07F7" w:rsidRDefault="00683E53" w:rsidP="00683E53">
      <w:pPr>
        <w:pStyle w:val="MHC-title"/>
        <w:spacing w:before="120" w:after="0" w:line="245" w:lineRule="auto"/>
        <w:jc w:val="right"/>
        <w:rPr>
          <w:rFonts w:ascii="Times New Roman" w:hAnsi="Times New Roman"/>
          <w:b w:val="0"/>
          <w:sz w:val="20"/>
        </w:rPr>
      </w:pPr>
      <w:r w:rsidRPr="00DB07F7">
        <w:rPr>
          <w:rFonts w:ascii="Times New Roman" w:hAnsi="Times New Roman"/>
          <w:b w:val="0"/>
          <w:sz w:val="20"/>
          <w:szCs w:val="28"/>
        </w:rPr>
        <w:t>DOI: 10.6060/mhc256913t</w:t>
      </w:r>
    </w:p>
    <w:p w:rsidR="00683E53" w:rsidRPr="00DB07F7" w:rsidRDefault="00683E53" w:rsidP="00683E53">
      <w:pPr>
        <w:pStyle w:val="MHC-title"/>
        <w:spacing w:before="240"/>
        <w:rPr>
          <w:rFonts w:ascii="BalticaCTT" w:hAnsi="BalticaCTT"/>
          <w:bCs/>
          <w:szCs w:val="30"/>
        </w:rPr>
      </w:pPr>
      <w:bookmarkStart w:id="0" w:name="OLE_LINK38"/>
      <w:bookmarkStart w:id="1" w:name="OLE_LINK39"/>
      <w:r w:rsidRPr="00DB07F7">
        <w:rPr>
          <w:rFonts w:ascii="BalticaCTT" w:hAnsi="BalticaCTT"/>
        </w:rPr>
        <w:t xml:space="preserve">Study of the Competition between Binding Sites within </w:t>
      </w:r>
      <w:r w:rsidRPr="00DB07F7">
        <w:rPr>
          <w:rFonts w:ascii="BalticaCTT" w:hAnsi="BalticaCTT"/>
        </w:rPr>
        <w:br/>
        <w:t xml:space="preserve">a </w:t>
      </w:r>
      <w:proofErr w:type="spellStart"/>
      <w:r w:rsidRPr="00DB07F7">
        <w:rPr>
          <w:rFonts w:ascii="BalticaCTT" w:hAnsi="BalticaCTT"/>
        </w:rPr>
        <w:t>Ditopic</w:t>
      </w:r>
      <w:proofErr w:type="spellEnd"/>
      <w:r w:rsidRPr="00DB07F7">
        <w:rPr>
          <w:rFonts w:ascii="BalticaCTT" w:hAnsi="BalticaCTT"/>
        </w:rPr>
        <w:t xml:space="preserve"> Crown-Containing </w:t>
      </w:r>
      <w:proofErr w:type="spellStart"/>
      <w:proofErr w:type="gramStart"/>
      <w:r w:rsidRPr="00DB07F7">
        <w:rPr>
          <w:rFonts w:ascii="BalticaCTT" w:hAnsi="BalticaCTT"/>
        </w:rPr>
        <w:t>Imidazo</w:t>
      </w:r>
      <w:proofErr w:type="spellEnd"/>
      <w:r w:rsidRPr="00DB07F7">
        <w:rPr>
          <w:rFonts w:ascii="BalticaCTT" w:hAnsi="BalticaCTT"/>
        </w:rPr>
        <w:t>[</w:t>
      </w:r>
      <w:proofErr w:type="gramEnd"/>
      <w:r w:rsidRPr="00DB07F7">
        <w:rPr>
          <w:rFonts w:ascii="BalticaCTT" w:hAnsi="BalticaCTT"/>
        </w:rPr>
        <w:t>4,5-f][1,10]</w:t>
      </w:r>
      <w:proofErr w:type="spellStart"/>
      <w:r w:rsidRPr="00DB07F7">
        <w:rPr>
          <w:rFonts w:ascii="BalticaCTT" w:hAnsi="BalticaCTT"/>
        </w:rPr>
        <w:t>phenanthroline</w:t>
      </w:r>
      <w:proofErr w:type="spellEnd"/>
      <w:r w:rsidRPr="00DB07F7">
        <w:rPr>
          <w:rFonts w:ascii="BalticaCTT" w:hAnsi="BalticaCTT"/>
        </w:rPr>
        <w:t xml:space="preserve"> </w:t>
      </w:r>
      <w:r w:rsidRPr="00DB07F7">
        <w:rPr>
          <w:rFonts w:ascii="BalticaCTT" w:hAnsi="BalticaCTT"/>
        </w:rPr>
        <w:br/>
      </w:r>
      <w:proofErr w:type="spellStart"/>
      <w:r w:rsidRPr="00DB07F7">
        <w:rPr>
          <w:rFonts w:ascii="BalticaCTT" w:hAnsi="BalticaCTT"/>
        </w:rPr>
        <w:t>Ligand</w:t>
      </w:r>
      <w:proofErr w:type="spellEnd"/>
      <w:r w:rsidRPr="00DB07F7">
        <w:rPr>
          <w:rFonts w:ascii="BalticaCTT" w:hAnsi="BalticaCTT"/>
        </w:rPr>
        <w:t xml:space="preserve"> for Metal </w:t>
      </w:r>
      <w:proofErr w:type="spellStart"/>
      <w:r w:rsidRPr="00DB07F7">
        <w:rPr>
          <w:rFonts w:ascii="BalticaCTT" w:hAnsi="BalticaCTT"/>
        </w:rPr>
        <w:t>Cations</w:t>
      </w:r>
      <w:proofErr w:type="spellEnd"/>
      <w:r w:rsidRPr="00DB07F7">
        <w:rPr>
          <w:rFonts w:ascii="BalticaCTT" w:hAnsi="BalticaCTT"/>
        </w:rPr>
        <w:t>, Depending on Their Nature</w:t>
      </w:r>
    </w:p>
    <w:bookmarkEnd w:id="0"/>
    <w:bookmarkEnd w:id="1"/>
    <w:p w:rsidR="00683E53" w:rsidRPr="00DB07F7" w:rsidRDefault="00683E53" w:rsidP="00683E53">
      <w:pPr>
        <w:spacing w:after="240"/>
        <w:rPr>
          <w:rFonts w:ascii="Baltica" w:hAnsi="Baltica"/>
          <w:i/>
          <w:lang w:val="en-US"/>
        </w:rPr>
      </w:pPr>
      <w:r w:rsidRPr="00DB07F7">
        <w:rPr>
          <w:rFonts w:ascii="Baltica" w:hAnsi="Baltica"/>
          <w:lang w:val="en-US"/>
        </w:rPr>
        <w:t xml:space="preserve">S. D. </w:t>
      </w:r>
      <w:proofErr w:type="spellStart"/>
      <w:r w:rsidRPr="00DB07F7">
        <w:rPr>
          <w:rFonts w:ascii="Baltica" w:hAnsi="Baltica"/>
          <w:lang w:val="en-US"/>
        </w:rPr>
        <w:t>Tokarev</w:t>
      </w:r>
      <w:proofErr w:type="spellEnd"/>
      <w:proofErr w:type="gramStart"/>
      <w:r w:rsidRPr="00DB07F7">
        <w:rPr>
          <w:rFonts w:ascii="Baltica" w:hAnsi="Baltica"/>
          <w:lang w:val="en-US"/>
        </w:rPr>
        <w:t>,</w:t>
      </w:r>
      <w:r w:rsidRPr="00DB07F7">
        <w:rPr>
          <w:rFonts w:ascii="Baltica" w:hAnsi="Baltica"/>
          <w:vertAlign w:val="superscript"/>
          <w:lang w:val="en-US"/>
        </w:rPr>
        <w:t>@</w:t>
      </w:r>
      <w:proofErr w:type="gramEnd"/>
      <w:r w:rsidRPr="00DB07F7">
        <w:rPr>
          <w:rFonts w:ascii="Baltica" w:hAnsi="Baltica"/>
          <w:lang w:val="en-US"/>
        </w:rPr>
        <w:t xml:space="preserve"> R. R. Alekseev, D. S. </w:t>
      </w:r>
      <w:proofErr w:type="spellStart"/>
      <w:r w:rsidRPr="00DB07F7">
        <w:rPr>
          <w:rFonts w:ascii="Baltica" w:hAnsi="Baltica"/>
          <w:lang w:val="en-US"/>
        </w:rPr>
        <w:t>Kharkovskaya</w:t>
      </w:r>
      <w:proofErr w:type="spellEnd"/>
      <w:r w:rsidRPr="00DB07F7">
        <w:rPr>
          <w:rFonts w:ascii="Baltica" w:hAnsi="Baltica"/>
          <w:lang w:val="en-US"/>
        </w:rPr>
        <w:t xml:space="preserve">, A. </w:t>
      </w:r>
      <w:proofErr w:type="spellStart"/>
      <w:r w:rsidRPr="00DB07F7">
        <w:rPr>
          <w:rFonts w:ascii="Baltica" w:hAnsi="Baltica"/>
          <w:lang w:val="en-US"/>
        </w:rPr>
        <w:t>Botezatu</w:t>
      </w:r>
      <w:proofErr w:type="spellEnd"/>
      <w:r w:rsidRPr="00DB07F7">
        <w:rPr>
          <w:rFonts w:ascii="Baltica" w:hAnsi="Baltica"/>
          <w:lang w:val="en-US"/>
        </w:rPr>
        <w:t xml:space="preserve">, </w:t>
      </w:r>
      <w:r>
        <w:rPr>
          <w:rFonts w:ascii="Baltica" w:hAnsi="Baltica"/>
          <w:lang w:val="en-US"/>
        </w:rPr>
        <w:br/>
      </w:r>
      <w:r w:rsidRPr="00DB07F7">
        <w:rPr>
          <w:rFonts w:ascii="Baltica" w:hAnsi="Baltica"/>
          <w:lang w:val="en-US"/>
        </w:rPr>
        <w:t xml:space="preserve">Yu. </w:t>
      </w:r>
      <w:proofErr w:type="gramStart"/>
      <w:r w:rsidRPr="00DB07F7">
        <w:rPr>
          <w:rFonts w:ascii="Baltica" w:hAnsi="Baltica"/>
          <w:lang w:val="en-US"/>
        </w:rPr>
        <w:t xml:space="preserve">V. </w:t>
      </w:r>
      <w:proofErr w:type="spellStart"/>
      <w:r w:rsidRPr="00DB07F7">
        <w:rPr>
          <w:rFonts w:ascii="Baltica" w:hAnsi="Baltica"/>
          <w:lang w:val="en-US"/>
        </w:rPr>
        <w:t>Fedorov</w:t>
      </w:r>
      <w:proofErr w:type="spellEnd"/>
      <w:r w:rsidRPr="00DB07F7">
        <w:rPr>
          <w:rFonts w:ascii="Baltica" w:hAnsi="Baltica"/>
          <w:lang w:val="en-US"/>
        </w:rPr>
        <w:t xml:space="preserve">, and O. A. </w:t>
      </w:r>
      <w:proofErr w:type="spellStart"/>
      <w:r w:rsidRPr="00DB07F7">
        <w:rPr>
          <w:rFonts w:ascii="Baltica" w:hAnsi="Baltica"/>
          <w:lang w:val="en-US"/>
        </w:rPr>
        <w:t>Fedorova</w:t>
      </w:r>
      <w:proofErr w:type="spellEnd"/>
      <w:proofErr w:type="gramEnd"/>
    </w:p>
    <w:p w:rsidR="00683E53" w:rsidRPr="00DB07F7" w:rsidRDefault="00683E53" w:rsidP="00683E53">
      <w:pPr>
        <w:pStyle w:val="MHC-Address"/>
      </w:pPr>
      <w:r w:rsidRPr="00DB07F7">
        <w:t>A.N.</w:t>
      </w:r>
      <w:r w:rsidRPr="00DB07F7">
        <w:rPr>
          <w:rFonts w:ascii="Times New Roman" w:hAnsi="Times New Roman"/>
        </w:rPr>
        <w:t> </w:t>
      </w:r>
      <w:proofErr w:type="spellStart"/>
      <w:r w:rsidRPr="00DB07F7">
        <w:t>Nesmeyanov</w:t>
      </w:r>
      <w:proofErr w:type="spellEnd"/>
      <w:r w:rsidRPr="00DB07F7">
        <w:t xml:space="preserve"> Institute of </w:t>
      </w:r>
      <w:proofErr w:type="spellStart"/>
      <w:r w:rsidRPr="00DB07F7">
        <w:t>Organoelement</w:t>
      </w:r>
      <w:proofErr w:type="spellEnd"/>
      <w:r w:rsidRPr="00DB07F7">
        <w:t xml:space="preserve"> Compounds of Russian Academy of Sciences (INEOS RAS), 119334 Moscow, Russia </w:t>
      </w:r>
    </w:p>
    <w:p w:rsidR="00683E53" w:rsidRDefault="00683E53" w:rsidP="00683E53">
      <w:pPr>
        <w:pStyle w:val="MHC-Address"/>
        <w:rPr>
          <w:lang w:val="en-GB"/>
        </w:rPr>
      </w:pPr>
      <w:r w:rsidRPr="00DB07F7">
        <w:rPr>
          <w:vertAlign w:val="superscript"/>
          <w:lang w:val="en-GB"/>
        </w:rPr>
        <w:t>@</w:t>
      </w:r>
      <w:r w:rsidRPr="00DB07F7">
        <w:rPr>
          <w:lang w:val="en-GB"/>
        </w:rPr>
        <w:t>Corresponding author E-mail:</w:t>
      </w:r>
      <w:r w:rsidRPr="00DB07F7">
        <w:t xml:space="preserve"> </w:t>
      </w:r>
      <w:hyperlink r:id="rId4" w:history="1">
        <w:r w:rsidRPr="00EC4045">
          <w:rPr>
            <w:rStyle w:val="ac"/>
            <w:lang w:val="en-GB"/>
          </w:rPr>
          <w:t>tokarev@ineos.ac.ru</w:t>
        </w:r>
      </w:hyperlink>
    </w:p>
    <w:p w:rsidR="00683E53" w:rsidRDefault="00683E53" w:rsidP="00683E53">
      <w:pPr>
        <w:pStyle w:val="MHC-Address"/>
        <w:rPr>
          <w:lang w:val="en-GB"/>
        </w:rPr>
      </w:pPr>
    </w:p>
    <w:p w:rsidR="00683E53" w:rsidRDefault="00683E53" w:rsidP="00683E53">
      <w:pPr>
        <w:pStyle w:val="MHC-Address"/>
        <w:rPr>
          <w:color w:val="000000"/>
          <w:lang w:val="en-GB"/>
        </w:rPr>
      </w:pPr>
    </w:p>
    <w:p w:rsidR="00E36A0A" w:rsidRDefault="00E36A0A" w:rsidP="00683E53">
      <w:pPr>
        <w:pStyle w:val="MHC-Address"/>
        <w:rPr>
          <w:color w:val="000000"/>
          <w:lang w:val="en-GB"/>
        </w:rPr>
      </w:pPr>
    </w:p>
    <w:p w:rsidR="00E36A0A" w:rsidRDefault="00E36A0A" w:rsidP="00683E53">
      <w:pPr>
        <w:pStyle w:val="MHC-Address"/>
        <w:rPr>
          <w:color w:val="000000"/>
          <w:lang w:val="en-GB"/>
        </w:rPr>
      </w:pPr>
    </w:p>
    <w:p w:rsidR="00E36A0A" w:rsidRPr="00DB07F7" w:rsidRDefault="00E36A0A" w:rsidP="00683E53">
      <w:pPr>
        <w:pStyle w:val="MHC-Address"/>
        <w:rPr>
          <w:color w:val="000000"/>
          <w:lang w:val="en-GB"/>
        </w:rPr>
      </w:pPr>
    </w:p>
    <w:p w:rsidR="007076B7" w:rsidRPr="007076B7" w:rsidRDefault="00BA21C9" w:rsidP="00BA21C9">
      <w:pPr>
        <w:spacing w:after="100" w:line="288" w:lineRule="auto"/>
        <w:jc w:val="center"/>
      </w:pPr>
      <w:r w:rsidRPr="007076B7">
        <w:object w:dxaOrig="8836" w:dyaOrig="67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7pt;height:251.15pt" o:ole="">
            <v:imagedata r:id="rId5" o:title=""/>
          </v:shape>
          <o:OLEObject Type="Embed" ProgID="Origin50.Graph" ShapeID="_x0000_i1025" DrawAspect="Content" ObjectID="_1843488947" r:id="rId6"/>
        </w:object>
      </w:r>
    </w:p>
    <w:p w:rsidR="007076B7" w:rsidRPr="007076B7" w:rsidRDefault="007076B7" w:rsidP="00AB74A4">
      <w:pPr>
        <w:spacing w:after="100" w:line="288" w:lineRule="auto"/>
        <w:jc w:val="both"/>
        <w:rPr>
          <w:color w:val="000000" w:themeColor="text1"/>
          <w:sz w:val="28"/>
          <w:szCs w:val="28"/>
          <w:vertAlign w:val="superscript"/>
        </w:rPr>
      </w:pPr>
      <w:r w:rsidRPr="007076B7">
        <w:t xml:space="preserve">Figure </w:t>
      </w:r>
      <w:r w:rsidRPr="007076B7">
        <w:rPr>
          <w:lang w:val="en-US"/>
        </w:rPr>
        <w:t>s</w:t>
      </w:r>
      <w:r w:rsidR="00BA21C9">
        <w:rPr>
          <w:lang w:val="en-US"/>
        </w:rPr>
        <w:t>1</w:t>
      </w:r>
      <w:r w:rsidRPr="007076B7">
        <w:t xml:space="preserve">. Electronic absorption spectra of a solution of ligand </w:t>
      </w:r>
      <w:r w:rsidRPr="007076B7">
        <w:rPr>
          <w:b/>
          <w:bCs/>
        </w:rPr>
        <w:t xml:space="preserve">2 </w:t>
      </w:r>
      <w:r w:rsidRPr="007076B7">
        <w:t xml:space="preserve">at different concentrations of cadmium(II) perchlorate. The initial concentration of ligand </w:t>
      </w:r>
      <w:r w:rsidRPr="007076B7">
        <w:rPr>
          <w:b/>
          <w:bCs/>
        </w:rPr>
        <w:t xml:space="preserve">2 </w:t>
      </w:r>
      <w:r w:rsidRPr="007076B7">
        <w:t xml:space="preserve">= 10 </w:t>
      </w:r>
      <w:r w:rsidRPr="007076B7">
        <w:rPr>
          <w:vertAlign w:val="superscript"/>
        </w:rPr>
        <w:t xml:space="preserve">-5 </w:t>
      </w:r>
      <w:r w:rsidRPr="007076B7">
        <w:t xml:space="preserve">M, the concentration of cadmium perchlorate varies in the range of 0–10 </w:t>
      </w:r>
      <w:r w:rsidRPr="007076B7">
        <w:rPr>
          <w:vertAlign w:val="superscript"/>
        </w:rPr>
        <w:t xml:space="preserve">-3 </w:t>
      </w:r>
      <w:r w:rsidRPr="007076B7">
        <w:t>M. Solvent – acetonitrile.</w:t>
      </w:r>
    </w:p>
    <w:p w:rsidR="007076B7" w:rsidRPr="007076B7" w:rsidRDefault="00E36A0A" w:rsidP="00BA21C9">
      <w:pPr>
        <w:keepNext/>
        <w:spacing w:after="100" w:line="288" w:lineRule="auto"/>
        <w:jc w:val="center"/>
        <w:rPr>
          <w:b/>
          <w:bCs/>
          <w:sz w:val="28"/>
          <w:szCs w:val="28"/>
          <w:vertAlign w:val="superscript"/>
          <w:lang w:val="en-US"/>
        </w:rPr>
      </w:pPr>
      <w:r w:rsidRPr="007076B7">
        <w:object w:dxaOrig="4494" w:dyaOrig="3437">
          <v:shape id="_x0000_i1026" type="#_x0000_t75" style="width:213.85pt;height:163.3pt" o:ole="">
            <v:imagedata r:id="rId7" o:title=""/>
          </v:shape>
          <o:OLEObject Type="Embed" ProgID="Origin50.Graph" ShapeID="_x0000_i1026" DrawAspect="Content" ObjectID="_1843488948" r:id="rId8"/>
        </w:object>
      </w:r>
    </w:p>
    <w:p w:rsidR="007076B7" w:rsidRPr="007076B7" w:rsidRDefault="007076B7" w:rsidP="00AB74A4">
      <w:pPr>
        <w:spacing w:after="100" w:line="288" w:lineRule="auto"/>
        <w:jc w:val="both"/>
      </w:pPr>
      <w:r w:rsidRPr="007076B7">
        <w:t xml:space="preserve">Figure </w:t>
      </w:r>
      <w:r w:rsidRPr="007076B7">
        <w:rPr>
          <w:lang w:val="en-US"/>
        </w:rPr>
        <w:t>s</w:t>
      </w:r>
      <w:r w:rsidR="00BA21C9">
        <w:rPr>
          <w:lang w:val="en-US"/>
        </w:rPr>
        <w:t>2</w:t>
      </w:r>
      <w:r w:rsidRPr="007076B7">
        <w:t xml:space="preserve">. Emission spectra of a solution of ligand </w:t>
      </w:r>
      <w:r w:rsidRPr="007076B7">
        <w:rPr>
          <w:b/>
          <w:bCs/>
        </w:rPr>
        <w:t xml:space="preserve">2 </w:t>
      </w:r>
      <w:r w:rsidRPr="007076B7">
        <w:t xml:space="preserve">at different concentrations of cadmium(II) perchlorate. The initial concentration of ligand </w:t>
      </w:r>
      <w:r w:rsidRPr="007076B7">
        <w:rPr>
          <w:b/>
          <w:bCs/>
        </w:rPr>
        <w:t xml:space="preserve">2 </w:t>
      </w:r>
      <w:r w:rsidRPr="007076B7">
        <w:t xml:space="preserve">= 10 </w:t>
      </w:r>
      <w:r w:rsidRPr="007076B7">
        <w:rPr>
          <w:vertAlign w:val="superscript"/>
        </w:rPr>
        <w:t xml:space="preserve">-5 </w:t>
      </w:r>
      <w:r w:rsidRPr="007076B7">
        <w:t xml:space="preserve">M, the concentration of cadmium perchlorate varies in the range of 0–10 </w:t>
      </w:r>
      <w:r w:rsidRPr="007076B7">
        <w:rPr>
          <w:vertAlign w:val="superscript"/>
        </w:rPr>
        <w:t xml:space="preserve">-3 </w:t>
      </w:r>
      <w:r w:rsidRPr="007076B7">
        <w:t>M. Solvent – acetonitrile.</w:t>
      </w:r>
    </w:p>
    <w:p w:rsidR="00047BCC" w:rsidRDefault="00E36A0A" w:rsidP="00AB74A4">
      <w:pPr>
        <w:spacing w:after="100" w:line="288" w:lineRule="auto"/>
        <w:jc w:val="center"/>
        <w:rPr>
          <w:b/>
          <w:bCs/>
          <w:sz w:val="28"/>
          <w:szCs w:val="28"/>
          <w:vertAlign w:val="superscript"/>
          <w:lang w:val="en-US"/>
        </w:rPr>
      </w:pPr>
      <w:r>
        <w:object w:dxaOrig="4494" w:dyaOrig="3437">
          <v:shape id="_x0000_i1027" type="#_x0000_t75" style="width:248.15pt;height:189.45pt" o:ole="">
            <v:imagedata r:id="rId9" o:title=""/>
          </v:shape>
          <o:OLEObject Type="Embed" ProgID="Origin50.Graph" ShapeID="_x0000_i1027" DrawAspect="Content" ObjectID="_1843488949" r:id="rId10"/>
        </w:object>
      </w:r>
    </w:p>
    <w:p w:rsidR="00047BCC" w:rsidRDefault="00047BCC" w:rsidP="00232A4D">
      <w:pPr>
        <w:spacing w:after="100" w:line="288" w:lineRule="auto"/>
        <w:jc w:val="both"/>
      </w:pPr>
      <w:r w:rsidRPr="00BA21C9">
        <w:t xml:space="preserve">Figure </w:t>
      </w:r>
      <w:r w:rsidR="00BA21C9" w:rsidRPr="00BA21C9">
        <w:t>s3</w:t>
      </w:r>
      <w:r w:rsidRPr="00BA21C9">
        <w:t>.</w:t>
      </w:r>
      <w:r w:rsidRPr="003A01BC">
        <w:rPr>
          <w:i/>
          <w:iCs/>
        </w:rPr>
        <w:t xml:space="preserve"> </w:t>
      </w:r>
      <w:r>
        <w:t xml:space="preserve">Emission spectra of ligand </w:t>
      </w:r>
      <w:r>
        <w:rPr>
          <w:b/>
          <w:bCs/>
        </w:rPr>
        <w:t xml:space="preserve">2 </w:t>
      </w:r>
      <w:r w:rsidRPr="00232A4D">
        <w:t>solution</w:t>
      </w:r>
      <w:r>
        <w:rPr>
          <w:b/>
          <w:bCs/>
        </w:rPr>
        <w:t xml:space="preserve"> </w:t>
      </w:r>
      <w:r w:rsidRPr="00876BA5">
        <w:t xml:space="preserve">at different concentrations of </w:t>
      </w:r>
      <w:proofErr w:type="gramStart"/>
      <w:r w:rsidRPr="00876BA5">
        <w:t>copper(</w:t>
      </w:r>
      <w:proofErr w:type="gramEnd"/>
      <w:r w:rsidRPr="00876BA5">
        <w:t xml:space="preserve">II) perchlorate. The initial concentration of ligand </w:t>
      </w:r>
      <w:r>
        <w:rPr>
          <w:b/>
          <w:bCs/>
        </w:rPr>
        <w:t xml:space="preserve">2 </w:t>
      </w:r>
      <w:r w:rsidRPr="00876BA5">
        <w:t xml:space="preserve">= 10 </w:t>
      </w:r>
      <w:r w:rsidRPr="00876BA5">
        <w:rPr>
          <w:vertAlign w:val="superscript"/>
        </w:rPr>
        <w:t xml:space="preserve">-5 </w:t>
      </w:r>
      <w:r w:rsidRPr="00876BA5">
        <w:t xml:space="preserve">M, the concentration of copper perchlorate varies in the range of 0–10 </w:t>
      </w:r>
      <w:r w:rsidRPr="00876BA5">
        <w:rPr>
          <w:vertAlign w:val="superscript"/>
        </w:rPr>
        <w:t xml:space="preserve">-3 </w:t>
      </w:r>
      <w:r w:rsidRPr="00876BA5">
        <w:t>M. Solvent – acetonitrile.</w:t>
      </w:r>
    </w:p>
    <w:p w:rsidR="00047BCC" w:rsidRDefault="00E36A0A" w:rsidP="00AB74A4">
      <w:pPr>
        <w:spacing w:after="100" w:line="288" w:lineRule="auto"/>
        <w:jc w:val="center"/>
        <w:rPr>
          <w:b/>
          <w:bCs/>
          <w:sz w:val="28"/>
          <w:szCs w:val="28"/>
          <w:vertAlign w:val="superscript"/>
          <w:lang w:val="en-US"/>
        </w:rPr>
      </w:pPr>
      <w:r>
        <w:object w:dxaOrig="4494" w:dyaOrig="3437">
          <v:shape id="_x0000_i1028" type="#_x0000_t75" style="width:252pt;height:192.85pt" o:ole="">
            <v:imagedata r:id="rId11" o:title=""/>
          </v:shape>
          <o:OLEObject Type="Embed" ProgID="Origin50.Graph" ShapeID="_x0000_i1028" DrawAspect="Content" ObjectID="_1843488950" r:id="rId12"/>
        </w:object>
      </w:r>
    </w:p>
    <w:p w:rsidR="00047BCC" w:rsidRDefault="00047BCC" w:rsidP="00232A4D">
      <w:pPr>
        <w:spacing w:after="100" w:line="288" w:lineRule="auto"/>
        <w:jc w:val="both"/>
      </w:pPr>
      <w:r w:rsidRPr="00BA21C9">
        <w:t xml:space="preserve">Figure </w:t>
      </w:r>
      <w:r w:rsidR="00BA21C9">
        <w:t>s4</w:t>
      </w:r>
      <w:r w:rsidRPr="00BA21C9">
        <w:t>.</w:t>
      </w:r>
      <w:r w:rsidRPr="003A01BC">
        <w:rPr>
          <w:i/>
          <w:iCs/>
        </w:rPr>
        <w:t xml:space="preserve"> </w:t>
      </w:r>
      <w:r>
        <w:t xml:space="preserve">Emission spectra of a solution of ligand </w:t>
      </w:r>
      <w:r>
        <w:rPr>
          <w:b/>
          <w:bCs/>
        </w:rPr>
        <w:t xml:space="preserve">2 </w:t>
      </w:r>
      <w:r w:rsidRPr="00876BA5">
        <w:t xml:space="preserve">at different concentrations of mercury (II) perchlorate. The initial concentration of ligand </w:t>
      </w:r>
      <w:r>
        <w:rPr>
          <w:b/>
          <w:bCs/>
        </w:rPr>
        <w:t xml:space="preserve">2 </w:t>
      </w:r>
      <w:r w:rsidRPr="00876BA5">
        <w:t xml:space="preserve">= 10 </w:t>
      </w:r>
      <w:r w:rsidRPr="00876BA5">
        <w:rPr>
          <w:vertAlign w:val="superscript"/>
        </w:rPr>
        <w:t xml:space="preserve">-5 </w:t>
      </w:r>
      <w:r w:rsidRPr="00876BA5">
        <w:t xml:space="preserve">M, the concentration of mercury perchlorate varies in the range of 0–10 </w:t>
      </w:r>
      <w:r w:rsidRPr="00876BA5">
        <w:rPr>
          <w:vertAlign w:val="superscript"/>
        </w:rPr>
        <w:t xml:space="preserve">-3 </w:t>
      </w:r>
      <w:r w:rsidRPr="00876BA5">
        <w:t>M. Solvent – acetonitrile.</w:t>
      </w:r>
    </w:p>
    <w:p w:rsidR="00C50026" w:rsidRPr="003A40AD" w:rsidRDefault="00232A4D" w:rsidP="00232A4D">
      <w:pPr>
        <w:spacing w:after="100" w:line="288" w:lineRule="auto"/>
        <w:jc w:val="center"/>
        <w:rPr>
          <w:sz w:val="28"/>
          <w:szCs w:val="28"/>
        </w:rPr>
      </w:pPr>
      <w:r w:rsidRPr="00232A4D">
        <w:rPr>
          <w:bCs/>
          <w:i/>
          <w:iCs/>
          <w:noProof/>
          <w:color w:val="000000" w:themeColor="text1"/>
          <w:lang w:val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1880235</wp:posOffset>
            </wp:positionV>
            <wp:extent cx="2933700" cy="3438525"/>
            <wp:effectExtent l="0" t="0" r="0" b="0"/>
            <wp:wrapSquare wrapText="bothSides"/>
            <wp:docPr id="831423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0026" w:rsidRPr="00C02C77">
        <w:rPr>
          <w:noProof/>
          <w:lang w:val="ru-RU"/>
        </w:rPr>
        <w:drawing>
          <wp:inline distT="0" distB="0" distL="0" distR="0">
            <wp:extent cx="3209925" cy="1527428"/>
            <wp:effectExtent l="0" t="0" r="0" b="0"/>
            <wp:docPr id="19469439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52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26" w:rsidRDefault="00232A4D" w:rsidP="00AB74A4">
      <w:pPr>
        <w:spacing w:after="100" w:line="288" w:lineRule="auto"/>
        <w:jc w:val="center"/>
        <w:rPr>
          <w:rFonts w:asciiTheme="minorHAnsi" w:eastAsiaTheme="minorEastAsia" w:hAnsiTheme="minorHAnsi" w:cstheme="minorBidi"/>
          <w:kern w:val="2"/>
          <w:lang w:val="en-US"/>
        </w:rPr>
      </w:pPr>
      <w:r>
        <w:rPr>
          <w:noProof/>
          <w:lang w:val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1209040</wp:posOffset>
            </wp:positionV>
            <wp:extent cx="3025140" cy="2638425"/>
            <wp:effectExtent l="0" t="0" r="3810" b="9525"/>
            <wp:wrapTight wrapText="bothSides">
              <wp:wrapPolygon edited="0">
                <wp:start x="0" y="0"/>
                <wp:lineTo x="0" y="21522"/>
                <wp:lineTo x="21491" y="21522"/>
                <wp:lineTo x="21491" y="0"/>
                <wp:lineTo x="0" y="0"/>
              </wp:wrapPolygon>
            </wp:wrapTight>
            <wp:docPr id="2407486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48658" name="Рисунок 2407486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74295</wp:posOffset>
            </wp:positionV>
            <wp:extent cx="3203575" cy="1028700"/>
            <wp:effectExtent l="0" t="0" r="0" b="0"/>
            <wp:wrapTight wrapText="bothSides">
              <wp:wrapPolygon edited="0">
                <wp:start x="0" y="0"/>
                <wp:lineTo x="0" y="21200"/>
                <wp:lineTo x="21450" y="21200"/>
                <wp:lineTo x="21450" y="0"/>
                <wp:lineTo x="0" y="0"/>
              </wp:wrapPolygon>
            </wp:wrapTight>
            <wp:docPr id="13482483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48314" name="Рисунок 13482483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2A4D">
        <w:rPr>
          <w:rFonts w:asciiTheme="minorHAnsi" w:eastAsiaTheme="minorEastAsia" w:hAnsiTheme="minorHAnsi" w:cstheme="minorBidi"/>
          <w:kern w:val="2"/>
          <w:lang w:val="en-US"/>
        </w:rPr>
        <w:t xml:space="preserve"> </w:t>
      </w:r>
    </w:p>
    <w:p w:rsidR="00E36A0A" w:rsidRDefault="00E36A0A" w:rsidP="00AB74A4">
      <w:pPr>
        <w:spacing w:after="100" w:line="288" w:lineRule="auto"/>
        <w:jc w:val="center"/>
        <w:rPr>
          <w:rFonts w:asciiTheme="minorHAnsi" w:eastAsiaTheme="minorEastAsia" w:hAnsiTheme="minorHAnsi" w:cstheme="minorBidi"/>
          <w:kern w:val="2"/>
          <w:lang w:val="en-US"/>
        </w:rPr>
      </w:pPr>
    </w:p>
    <w:p w:rsidR="00E36A0A" w:rsidRDefault="00E36A0A" w:rsidP="00AB74A4">
      <w:pPr>
        <w:spacing w:after="100" w:line="288" w:lineRule="auto"/>
        <w:jc w:val="center"/>
        <w:rPr>
          <w:rFonts w:asciiTheme="minorHAnsi" w:eastAsiaTheme="minorEastAsia" w:hAnsiTheme="minorHAnsi" w:cstheme="minorBidi"/>
          <w:kern w:val="2"/>
          <w:lang w:val="en-US"/>
        </w:rPr>
      </w:pPr>
    </w:p>
    <w:p w:rsidR="00E36A0A" w:rsidRDefault="00E36A0A" w:rsidP="00AB74A4">
      <w:pPr>
        <w:spacing w:after="100" w:line="288" w:lineRule="auto"/>
        <w:jc w:val="center"/>
        <w:rPr>
          <w:rFonts w:asciiTheme="minorHAnsi" w:eastAsiaTheme="minorEastAsia" w:hAnsiTheme="minorHAnsi" w:cstheme="minorBidi"/>
          <w:kern w:val="2"/>
          <w:lang w:val="en-US"/>
        </w:rPr>
      </w:pPr>
    </w:p>
    <w:p w:rsidR="00E36A0A" w:rsidRDefault="00E36A0A" w:rsidP="00AB74A4">
      <w:pPr>
        <w:spacing w:after="100" w:line="288" w:lineRule="auto"/>
        <w:jc w:val="center"/>
        <w:rPr>
          <w:rFonts w:asciiTheme="minorHAnsi" w:eastAsiaTheme="minorEastAsia" w:hAnsiTheme="minorHAnsi" w:cstheme="minorBidi"/>
          <w:kern w:val="2"/>
          <w:lang w:val="en-US"/>
        </w:rPr>
      </w:pPr>
    </w:p>
    <w:p w:rsidR="00E36A0A" w:rsidRDefault="00E36A0A" w:rsidP="00AB74A4">
      <w:pPr>
        <w:spacing w:after="100" w:line="288" w:lineRule="auto"/>
        <w:jc w:val="center"/>
        <w:rPr>
          <w:rFonts w:asciiTheme="minorHAnsi" w:eastAsiaTheme="minorEastAsia" w:hAnsiTheme="minorHAnsi" w:cstheme="minorBidi"/>
          <w:kern w:val="2"/>
          <w:lang w:val="en-US"/>
        </w:rPr>
      </w:pPr>
    </w:p>
    <w:p w:rsidR="00E36A0A" w:rsidRDefault="00E36A0A" w:rsidP="00AB74A4">
      <w:pPr>
        <w:spacing w:after="100" w:line="288" w:lineRule="auto"/>
        <w:jc w:val="center"/>
        <w:rPr>
          <w:rFonts w:asciiTheme="minorHAnsi" w:eastAsiaTheme="minorEastAsia" w:hAnsiTheme="minorHAnsi" w:cstheme="minorBidi"/>
          <w:kern w:val="2"/>
          <w:lang w:val="en-US"/>
        </w:rPr>
      </w:pPr>
    </w:p>
    <w:p w:rsidR="00E36A0A" w:rsidRDefault="00E36A0A" w:rsidP="00AB74A4">
      <w:pPr>
        <w:spacing w:after="100" w:line="288" w:lineRule="auto"/>
        <w:jc w:val="center"/>
        <w:rPr>
          <w:rFonts w:asciiTheme="minorHAnsi" w:eastAsiaTheme="minorEastAsia" w:hAnsiTheme="minorHAnsi" w:cstheme="minorBidi"/>
          <w:kern w:val="2"/>
          <w:lang w:val="en-US"/>
        </w:rPr>
      </w:pPr>
    </w:p>
    <w:p w:rsidR="00E36A0A" w:rsidRDefault="00E36A0A" w:rsidP="00AB74A4">
      <w:pPr>
        <w:spacing w:after="100" w:line="288" w:lineRule="auto"/>
        <w:jc w:val="center"/>
        <w:rPr>
          <w:rFonts w:asciiTheme="minorHAnsi" w:eastAsiaTheme="minorEastAsia" w:hAnsiTheme="minorHAnsi" w:cstheme="minorBidi"/>
          <w:kern w:val="2"/>
          <w:lang w:val="en-US"/>
        </w:rPr>
      </w:pPr>
    </w:p>
    <w:p w:rsidR="00E36A0A" w:rsidRDefault="00E36A0A" w:rsidP="00AB74A4">
      <w:pPr>
        <w:spacing w:after="100" w:line="288" w:lineRule="auto"/>
        <w:jc w:val="center"/>
        <w:rPr>
          <w:rFonts w:asciiTheme="minorHAnsi" w:eastAsiaTheme="minorEastAsia" w:hAnsiTheme="minorHAnsi" w:cstheme="minorBidi"/>
          <w:kern w:val="2"/>
          <w:lang w:val="en-US"/>
        </w:rPr>
      </w:pPr>
    </w:p>
    <w:p w:rsidR="00E36A0A" w:rsidRDefault="00E36A0A" w:rsidP="00AB74A4">
      <w:pPr>
        <w:spacing w:after="100" w:line="288" w:lineRule="auto"/>
        <w:jc w:val="center"/>
        <w:rPr>
          <w:rFonts w:asciiTheme="minorHAnsi" w:eastAsiaTheme="minorEastAsia" w:hAnsiTheme="minorHAnsi" w:cstheme="minorBidi"/>
          <w:kern w:val="2"/>
          <w:lang w:val="en-US"/>
        </w:rPr>
      </w:pPr>
    </w:p>
    <w:p w:rsidR="00E36A0A" w:rsidRDefault="00E36A0A" w:rsidP="00AB74A4">
      <w:pPr>
        <w:spacing w:after="100" w:line="288" w:lineRule="auto"/>
        <w:jc w:val="center"/>
        <w:rPr>
          <w:rFonts w:asciiTheme="minorHAnsi" w:eastAsiaTheme="minorEastAsia" w:hAnsiTheme="minorHAnsi" w:cstheme="minorBidi"/>
          <w:kern w:val="2"/>
          <w:lang w:val="en-US"/>
        </w:rPr>
      </w:pPr>
    </w:p>
    <w:p w:rsidR="00E36A0A" w:rsidRDefault="00E36A0A" w:rsidP="00AB74A4">
      <w:pPr>
        <w:spacing w:after="100" w:line="288" w:lineRule="auto"/>
        <w:jc w:val="center"/>
        <w:rPr>
          <w:bCs/>
          <w:i/>
          <w:iCs/>
          <w:color w:val="000000" w:themeColor="text1"/>
        </w:rPr>
      </w:pPr>
    </w:p>
    <w:p w:rsidR="00232A4D" w:rsidRDefault="00232A4D" w:rsidP="00232A4D">
      <w:pPr>
        <w:spacing w:after="100" w:line="288" w:lineRule="auto"/>
        <w:jc w:val="center"/>
        <w:rPr>
          <w:bCs/>
          <w:color w:val="000000" w:themeColor="text1"/>
        </w:rPr>
      </w:pPr>
      <w:r w:rsidRPr="00232A4D">
        <w:rPr>
          <w:bCs/>
          <w:i/>
          <w:iCs/>
          <w:color w:val="000000" w:themeColor="text1"/>
        </w:rPr>
        <w:t xml:space="preserve"> </w:t>
      </w:r>
    </w:p>
    <w:p w:rsidR="007D1FB6" w:rsidRDefault="007D1FB6" w:rsidP="00AB74A4">
      <w:pPr>
        <w:spacing w:after="100" w:line="288" w:lineRule="auto"/>
        <w:jc w:val="center"/>
        <w:rPr>
          <w:bCs/>
          <w:color w:val="000000" w:themeColor="text1"/>
        </w:rPr>
      </w:pPr>
    </w:p>
    <w:p w:rsidR="00232A4D" w:rsidRPr="00BA21C9" w:rsidRDefault="00BA21C9" w:rsidP="00232A4D">
      <w:pPr>
        <w:spacing w:after="100" w:line="288" w:lineRule="auto"/>
        <w:jc w:val="both"/>
        <w:rPr>
          <w:bCs/>
          <w:color w:val="000000" w:themeColor="text1"/>
          <w:vertAlign w:val="subscript"/>
        </w:rPr>
      </w:pPr>
      <w:r w:rsidRPr="00BA21C9">
        <w:rPr>
          <w:bCs/>
          <w:color w:val="000000" w:themeColor="text1"/>
        </w:rPr>
        <w:t>Figure s5.</w:t>
      </w:r>
      <w:r w:rsidR="00232A4D">
        <w:rPr>
          <w:b/>
          <w:i/>
          <w:iCs/>
          <w:color w:val="000000" w:themeColor="text1"/>
        </w:rPr>
        <w:t xml:space="preserve"> </w:t>
      </w:r>
      <w:r w:rsidR="00232A4D" w:rsidRPr="008840DA">
        <w:rPr>
          <w:bCs/>
          <w:color w:val="000000" w:themeColor="text1"/>
        </w:rPr>
        <w:t xml:space="preserve">NMR spectra upon addition of a) 0 equiv. </w:t>
      </w:r>
      <w:r w:rsidR="00232A4D">
        <w:rPr>
          <w:bCs/>
          <w:color w:val="000000" w:themeColor="text1"/>
          <w:lang w:val="en-US"/>
        </w:rPr>
        <w:t xml:space="preserve">Cd </w:t>
      </w:r>
      <w:r w:rsidR="00232A4D" w:rsidRPr="008840DA">
        <w:rPr>
          <w:bCs/>
          <w:color w:val="000000" w:themeColor="text1"/>
          <w:vertAlign w:val="superscript"/>
        </w:rPr>
        <w:t xml:space="preserve">2+ </w:t>
      </w:r>
      <w:r w:rsidR="00232A4D" w:rsidRPr="008840DA">
        <w:rPr>
          <w:bCs/>
          <w:color w:val="000000" w:themeColor="text1"/>
        </w:rPr>
        <w:t xml:space="preserve">b) 0.5 equiv. </w:t>
      </w:r>
      <w:r w:rsidR="00232A4D">
        <w:rPr>
          <w:bCs/>
          <w:color w:val="000000" w:themeColor="text1"/>
          <w:lang w:val="en-US"/>
        </w:rPr>
        <w:t xml:space="preserve">Cd </w:t>
      </w:r>
      <w:r w:rsidR="00232A4D" w:rsidRPr="008840DA">
        <w:rPr>
          <w:bCs/>
          <w:color w:val="000000" w:themeColor="text1"/>
          <w:vertAlign w:val="superscript"/>
        </w:rPr>
        <w:t xml:space="preserve">2+ </w:t>
      </w:r>
      <w:r w:rsidR="00232A4D" w:rsidRPr="008840DA">
        <w:rPr>
          <w:bCs/>
          <w:color w:val="000000" w:themeColor="text1"/>
        </w:rPr>
        <w:t xml:space="preserve">c) 1 equiv. </w:t>
      </w:r>
      <w:r w:rsidR="00232A4D">
        <w:rPr>
          <w:bCs/>
          <w:color w:val="000000" w:themeColor="text1"/>
          <w:lang w:val="en-US"/>
        </w:rPr>
        <w:t xml:space="preserve">Cd </w:t>
      </w:r>
      <w:r w:rsidR="00232A4D" w:rsidRPr="008840DA">
        <w:rPr>
          <w:bCs/>
          <w:color w:val="000000" w:themeColor="text1"/>
          <w:vertAlign w:val="superscript"/>
        </w:rPr>
        <w:t xml:space="preserve">2+ </w:t>
      </w:r>
      <w:r w:rsidR="00232A4D" w:rsidRPr="008840DA">
        <w:rPr>
          <w:bCs/>
          <w:color w:val="000000" w:themeColor="text1"/>
        </w:rPr>
        <w:t xml:space="preserve">d) 2 equiv. </w:t>
      </w:r>
      <w:r w:rsidR="00232A4D">
        <w:rPr>
          <w:bCs/>
          <w:color w:val="000000" w:themeColor="text1"/>
          <w:lang w:val="en-US"/>
        </w:rPr>
        <w:t xml:space="preserve">Cd </w:t>
      </w:r>
      <w:r w:rsidR="00232A4D" w:rsidRPr="008840DA">
        <w:rPr>
          <w:bCs/>
          <w:color w:val="000000" w:themeColor="text1"/>
          <w:vertAlign w:val="superscript"/>
        </w:rPr>
        <w:t xml:space="preserve">2+ </w:t>
      </w:r>
      <w:r w:rsidR="00232A4D">
        <w:rPr>
          <w:bCs/>
          <w:color w:val="000000" w:themeColor="text1"/>
        </w:rPr>
        <w:t xml:space="preserve">to a solution of ligand </w:t>
      </w:r>
      <w:r w:rsidR="00232A4D" w:rsidRPr="00C50026">
        <w:rPr>
          <w:b/>
          <w:color w:val="000000" w:themeColor="text1"/>
        </w:rPr>
        <w:t xml:space="preserve">2. </w:t>
      </w:r>
      <w:r w:rsidR="00232A4D" w:rsidRPr="008840DA">
        <w:rPr>
          <w:bCs/>
          <w:color w:val="000000" w:themeColor="text1"/>
        </w:rPr>
        <w:t xml:space="preserve">Initial concentration of ligand </w:t>
      </w:r>
      <w:r w:rsidR="00232A4D" w:rsidRPr="00C50026">
        <w:rPr>
          <w:b/>
          <w:color w:val="000000" w:themeColor="text1"/>
        </w:rPr>
        <w:t xml:space="preserve">2 </w:t>
      </w:r>
      <w:r w:rsidR="00232A4D" w:rsidRPr="008840DA">
        <w:rPr>
          <w:bCs/>
          <w:color w:val="000000" w:themeColor="text1"/>
        </w:rPr>
        <w:t xml:space="preserve">= 10 </w:t>
      </w:r>
      <w:r w:rsidR="00232A4D" w:rsidRPr="008840DA">
        <w:rPr>
          <w:bCs/>
          <w:color w:val="000000" w:themeColor="text1"/>
          <w:vertAlign w:val="superscript"/>
        </w:rPr>
        <w:t xml:space="preserve">-3 </w:t>
      </w:r>
      <w:r w:rsidR="00232A4D" w:rsidRPr="008840DA">
        <w:rPr>
          <w:bCs/>
          <w:color w:val="000000" w:themeColor="text1"/>
        </w:rPr>
        <w:t>M, solvent MeCN</w:t>
      </w:r>
      <w:r>
        <w:rPr>
          <w:bCs/>
          <w:color w:val="000000" w:themeColor="text1"/>
        </w:rPr>
        <w:t>-d</w:t>
      </w:r>
      <w:r>
        <w:rPr>
          <w:bCs/>
          <w:color w:val="000000" w:themeColor="text1"/>
          <w:vertAlign w:val="subscript"/>
        </w:rPr>
        <w:t>3</w:t>
      </w:r>
    </w:p>
    <w:p w:rsidR="007D1FB6" w:rsidRDefault="007D1FB6" w:rsidP="00AB74A4">
      <w:pPr>
        <w:spacing w:after="100" w:line="288" w:lineRule="auto"/>
        <w:jc w:val="center"/>
      </w:pPr>
      <w:r>
        <w:object w:dxaOrig="6020" w:dyaOrig="4609">
          <v:shape id="_x0000_i1029" type="#_x0000_t75" style="width:376.7pt;height:4in" o:ole="">
            <v:imagedata r:id="rId17" o:title=""/>
          </v:shape>
          <o:OLEObject Type="Embed" ProgID="Origin95.Graph" ShapeID="_x0000_i1029" DrawAspect="Content" ObjectID="_1843488951" r:id="rId18"/>
        </w:object>
      </w:r>
    </w:p>
    <w:p w:rsidR="007D1FB6" w:rsidRDefault="007D1FB6" w:rsidP="00232A4D">
      <w:pPr>
        <w:spacing w:after="100" w:line="288" w:lineRule="auto"/>
        <w:jc w:val="both"/>
      </w:pPr>
      <w:r w:rsidRPr="00BA21C9">
        <w:t xml:space="preserve">Figure </w:t>
      </w:r>
      <w:r w:rsidR="00BA21C9" w:rsidRPr="00BA21C9">
        <w:t>s6</w:t>
      </w:r>
      <w:r w:rsidRPr="00BA21C9">
        <w:t>.</w:t>
      </w:r>
      <w:r w:rsidRPr="00F2755B">
        <w:rPr>
          <w:i/>
          <w:iCs/>
        </w:rPr>
        <w:t xml:space="preserve"> </w:t>
      </w:r>
      <w:r w:rsidRPr="00F2755B">
        <w:t xml:space="preserve">Electronic absorption spectra of a solution of ligand </w:t>
      </w:r>
      <w:r w:rsidR="00AB74A4">
        <w:rPr>
          <w:b/>
          <w:bCs/>
        </w:rPr>
        <w:t xml:space="preserve">1 </w:t>
      </w:r>
      <w:r w:rsidRPr="00F2755B">
        <w:t xml:space="preserve">at different concentrations of iron (II) perchlorate. The initial concentration of ligand </w:t>
      </w:r>
      <w:r w:rsidR="00AB74A4">
        <w:rPr>
          <w:b/>
          <w:bCs/>
        </w:rPr>
        <w:t xml:space="preserve">1 </w:t>
      </w:r>
      <w:r w:rsidRPr="00F2755B">
        <w:t xml:space="preserve">= 10 </w:t>
      </w:r>
      <w:r w:rsidRPr="00F2755B">
        <w:rPr>
          <w:vertAlign w:val="superscript"/>
        </w:rPr>
        <w:t xml:space="preserve">-5 </w:t>
      </w:r>
      <w:r w:rsidRPr="00F2755B">
        <w:t xml:space="preserve">M, the concentration of iron perchlorate varies in the range of 0–10 </w:t>
      </w:r>
      <w:r w:rsidRPr="00F2755B">
        <w:rPr>
          <w:vertAlign w:val="superscript"/>
        </w:rPr>
        <w:t xml:space="preserve">-3 </w:t>
      </w:r>
      <w:r w:rsidRPr="00F2755B">
        <w:t>M. Solvent – acetonitrile.</w:t>
      </w:r>
    </w:p>
    <w:p w:rsidR="007D1FB6" w:rsidRDefault="007D1FB6" w:rsidP="00AB74A4">
      <w:pPr>
        <w:spacing w:after="100" w:line="288" w:lineRule="auto"/>
        <w:jc w:val="center"/>
      </w:pPr>
      <w:r>
        <w:object w:dxaOrig="6020" w:dyaOrig="4609">
          <v:shape id="_x0000_i1030" type="#_x0000_t75" style="width:327.85pt;height:251.15pt" o:ole="">
            <v:imagedata r:id="rId19" o:title=""/>
          </v:shape>
          <o:OLEObject Type="Embed" ProgID="Origin95.Graph" ShapeID="_x0000_i1030" DrawAspect="Content" ObjectID="_1843488952" r:id="rId20"/>
        </w:object>
      </w:r>
    </w:p>
    <w:p w:rsidR="007D1FB6" w:rsidRPr="00B4078B" w:rsidRDefault="007D1FB6" w:rsidP="00232A4D">
      <w:pPr>
        <w:spacing w:after="100" w:line="288" w:lineRule="auto"/>
        <w:jc w:val="both"/>
      </w:pPr>
      <w:r w:rsidRPr="00BA21C9">
        <w:t xml:space="preserve">Figure </w:t>
      </w:r>
      <w:r w:rsidR="00BA21C9" w:rsidRPr="00BA21C9">
        <w:t>s7</w:t>
      </w:r>
      <w:r w:rsidRPr="00F2755B">
        <w:rPr>
          <w:i/>
          <w:iCs/>
        </w:rPr>
        <w:t xml:space="preserve">. </w:t>
      </w:r>
      <w:r w:rsidRPr="00F2755B">
        <w:t xml:space="preserve">Electronic emission spectra of a solution of ligand </w:t>
      </w:r>
      <w:r w:rsidR="00AB74A4">
        <w:rPr>
          <w:b/>
          <w:bCs/>
        </w:rPr>
        <w:t xml:space="preserve">1 </w:t>
      </w:r>
      <w:r w:rsidRPr="00F2755B">
        <w:t xml:space="preserve">at different concentrations of iron (II) perchlorate. The initial concentration of ligand </w:t>
      </w:r>
      <w:r w:rsidR="00AB74A4">
        <w:rPr>
          <w:b/>
          <w:bCs/>
        </w:rPr>
        <w:t xml:space="preserve">1 </w:t>
      </w:r>
      <w:r w:rsidRPr="00F2755B">
        <w:t xml:space="preserve">= 10 </w:t>
      </w:r>
      <w:r w:rsidRPr="00F2755B">
        <w:rPr>
          <w:vertAlign w:val="superscript"/>
        </w:rPr>
        <w:t xml:space="preserve">-5 </w:t>
      </w:r>
      <w:r w:rsidRPr="00F2755B">
        <w:t xml:space="preserve">M, the concentration of iron perchlorate varies in the range of 0–10 </w:t>
      </w:r>
      <w:r w:rsidRPr="00F2755B">
        <w:rPr>
          <w:vertAlign w:val="superscript"/>
        </w:rPr>
        <w:t xml:space="preserve">-3 </w:t>
      </w:r>
      <w:r w:rsidRPr="00F2755B">
        <w:t>M. Solvent – acetonitrile.</w:t>
      </w:r>
    </w:p>
    <w:p w:rsidR="007D1FB6" w:rsidRPr="00BA21C9" w:rsidRDefault="007D1FB6" w:rsidP="00AB74A4">
      <w:pPr>
        <w:spacing w:after="100" w:line="288" w:lineRule="auto"/>
        <w:jc w:val="center"/>
      </w:pPr>
      <w:r>
        <w:object w:dxaOrig="6020" w:dyaOrig="4609">
          <v:shape id="_x0000_i1031" type="#_x0000_t75" style="width:315.85pt;height:240.85pt" o:ole="">
            <v:imagedata r:id="rId21" o:title=""/>
          </v:shape>
          <o:OLEObject Type="Embed" ProgID="Origin95.Graph" ShapeID="_x0000_i1031" DrawAspect="Content" ObjectID="_1843488953" r:id="rId22"/>
        </w:object>
      </w:r>
    </w:p>
    <w:p w:rsidR="007D1FB6" w:rsidRDefault="007D1FB6" w:rsidP="00232A4D">
      <w:pPr>
        <w:spacing w:after="100" w:line="288" w:lineRule="auto"/>
        <w:jc w:val="both"/>
      </w:pPr>
      <w:r w:rsidRPr="00BA21C9">
        <w:t xml:space="preserve">Figure </w:t>
      </w:r>
      <w:r w:rsidR="00BA21C9" w:rsidRPr="00BA21C9">
        <w:t>s8</w:t>
      </w:r>
      <w:r w:rsidRPr="00F2755B">
        <w:rPr>
          <w:i/>
          <w:iCs/>
        </w:rPr>
        <w:t xml:space="preserve">. </w:t>
      </w:r>
      <w:r w:rsidRPr="00F2755B">
        <w:t xml:space="preserve">Electronic absorption spectra of a solution of ligand </w:t>
      </w:r>
      <w:r w:rsidR="00AB74A4">
        <w:rPr>
          <w:b/>
          <w:bCs/>
        </w:rPr>
        <w:t xml:space="preserve">1 </w:t>
      </w:r>
      <w:r w:rsidRPr="00F2755B">
        <w:t xml:space="preserve">at different concentrations of cadmium (II) perchlorate. The initial concentration of ligand </w:t>
      </w:r>
      <w:r w:rsidR="00AB74A4">
        <w:rPr>
          <w:b/>
          <w:bCs/>
        </w:rPr>
        <w:t xml:space="preserve">1 </w:t>
      </w:r>
      <w:r w:rsidRPr="00F2755B">
        <w:t xml:space="preserve">= 10 </w:t>
      </w:r>
      <w:r w:rsidRPr="00F2755B">
        <w:rPr>
          <w:vertAlign w:val="superscript"/>
        </w:rPr>
        <w:t xml:space="preserve">-5 </w:t>
      </w:r>
      <w:r w:rsidRPr="00F2755B">
        <w:t xml:space="preserve">M, the concentration of cadmium perchlorate varies in the range of 0–10 </w:t>
      </w:r>
      <w:r w:rsidRPr="00F2755B">
        <w:rPr>
          <w:vertAlign w:val="superscript"/>
        </w:rPr>
        <w:t xml:space="preserve">-3 </w:t>
      </w:r>
      <w:r w:rsidRPr="00F2755B">
        <w:t>M. Solvent – acetonitrile.</w:t>
      </w:r>
    </w:p>
    <w:p w:rsidR="007D1FB6" w:rsidRPr="00BA21C9" w:rsidRDefault="007D1FB6" w:rsidP="00AB74A4">
      <w:pPr>
        <w:spacing w:after="100" w:line="288" w:lineRule="auto"/>
        <w:jc w:val="center"/>
      </w:pPr>
      <w:r>
        <w:object w:dxaOrig="6020" w:dyaOrig="4609">
          <v:shape id="_x0000_i1032" type="#_x0000_t75" style="width:332.15pt;height:254.15pt" o:ole="">
            <v:imagedata r:id="rId23" o:title=""/>
          </v:shape>
          <o:OLEObject Type="Embed" ProgID="Origin95.Graph" ShapeID="_x0000_i1032" DrawAspect="Content" ObjectID="_1843488954" r:id="rId24"/>
        </w:object>
      </w:r>
    </w:p>
    <w:p w:rsidR="007D1FB6" w:rsidRDefault="007D1FB6" w:rsidP="00232A4D">
      <w:pPr>
        <w:spacing w:after="100" w:line="288" w:lineRule="auto"/>
        <w:jc w:val="both"/>
      </w:pPr>
      <w:r w:rsidRPr="00BA21C9">
        <w:t xml:space="preserve">Figure </w:t>
      </w:r>
      <w:r w:rsidR="00BA21C9" w:rsidRPr="00BA21C9">
        <w:t>s9</w:t>
      </w:r>
      <w:r w:rsidRPr="00F2755B">
        <w:rPr>
          <w:i/>
          <w:iCs/>
        </w:rPr>
        <w:t xml:space="preserve">. </w:t>
      </w:r>
      <w:r w:rsidRPr="00F2755B">
        <w:t xml:space="preserve">Electronic emission spectra of a solution of ligand </w:t>
      </w:r>
      <w:r w:rsidR="00AB74A4">
        <w:rPr>
          <w:b/>
          <w:bCs/>
        </w:rPr>
        <w:t xml:space="preserve">1 </w:t>
      </w:r>
      <w:r w:rsidRPr="00F2755B">
        <w:t xml:space="preserve">at different concentrations of cadmium(II) perchlorate. The initial concentration of ligand </w:t>
      </w:r>
      <w:r w:rsidR="00AB74A4">
        <w:rPr>
          <w:b/>
          <w:bCs/>
        </w:rPr>
        <w:t xml:space="preserve">1 </w:t>
      </w:r>
      <w:r w:rsidRPr="00F2755B">
        <w:t xml:space="preserve">= 10 </w:t>
      </w:r>
      <w:r w:rsidRPr="00F2755B">
        <w:rPr>
          <w:vertAlign w:val="superscript"/>
        </w:rPr>
        <w:t xml:space="preserve">-5 </w:t>
      </w:r>
      <w:r w:rsidRPr="00F2755B">
        <w:t xml:space="preserve">M, the concentration of cadmium perchlorate varies in the range of 0–10 </w:t>
      </w:r>
      <w:r w:rsidRPr="00F2755B">
        <w:rPr>
          <w:vertAlign w:val="superscript"/>
        </w:rPr>
        <w:t xml:space="preserve">-3 </w:t>
      </w:r>
      <w:r w:rsidRPr="00F2755B">
        <w:t>M. Solvent – acetonitrile.</w:t>
      </w:r>
    </w:p>
    <w:p w:rsidR="007D1FB6" w:rsidRDefault="007D1FB6" w:rsidP="00AB74A4">
      <w:pPr>
        <w:spacing w:after="100" w:line="288" w:lineRule="auto"/>
        <w:jc w:val="center"/>
      </w:pPr>
      <w:r>
        <w:object w:dxaOrig="6020" w:dyaOrig="4609">
          <v:shape id="_x0000_i1033" type="#_x0000_t75" style="width:352.3pt;height:268.3pt" o:ole="">
            <v:imagedata r:id="rId25" o:title=""/>
          </v:shape>
          <o:OLEObject Type="Embed" ProgID="Origin95.Graph" ShapeID="_x0000_i1033" DrawAspect="Content" ObjectID="_1843488955" r:id="rId26"/>
        </w:object>
      </w:r>
    </w:p>
    <w:p w:rsidR="007D1FB6" w:rsidRDefault="007D1FB6" w:rsidP="00232A4D">
      <w:pPr>
        <w:spacing w:after="100" w:line="288" w:lineRule="auto"/>
        <w:jc w:val="both"/>
      </w:pPr>
      <w:r w:rsidRPr="00BA21C9">
        <w:t xml:space="preserve">Figure </w:t>
      </w:r>
      <w:r w:rsidR="00BA21C9" w:rsidRPr="00BA21C9">
        <w:t>s10</w:t>
      </w:r>
      <w:r w:rsidRPr="00F2755B">
        <w:rPr>
          <w:i/>
          <w:iCs/>
        </w:rPr>
        <w:t xml:space="preserve">. </w:t>
      </w:r>
      <w:r w:rsidRPr="00F2755B">
        <w:t xml:space="preserve">Electronic absorption spectra of a solution of ligand </w:t>
      </w:r>
      <w:r w:rsidRPr="00412CEB">
        <w:rPr>
          <w:b/>
          <w:bCs/>
        </w:rPr>
        <w:t xml:space="preserve">1 </w:t>
      </w:r>
      <w:r w:rsidRPr="00F2755B">
        <w:t xml:space="preserve">at different concentrations of barium (II) perchlorate. The initial concentration of ligand </w:t>
      </w:r>
      <w:r>
        <w:rPr>
          <w:b/>
          <w:bCs/>
        </w:rPr>
        <w:t xml:space="preserve">1 </w:t>
      </w:r>
      <w:r w:rsidRPr="00F2755B">
        <w:t xml:space="preserve">= 10 </w:t>
      </w:r>
      <w:r w:rsidRPr="00F2755B">
        <w:rPr>
          <w:vertAlign w:val="superscript"/>
        </w:rPr>
        <w:t xml:space="preserve">-5 </w:t>
      </w:r>
      <w:r w:rsidRPr="00F2755B">
        <w:t xml:space="preserve">M, the concentration of barium perchlorate varies in the range of 0–10 </w:t>
      </w:r>
      <w:r w:rsidRPr="00F2755B">
        <w:rPr>
          <w:vertAlign w:val="superscript"/>
        </w:rPr>
        <w:t xml:space="preserve">-3 </w:t>
      </w:r>
      <w:r w:rsidRPr="00F2755B">
        <w:t>M. Solvent – acetonitrile.</w:t>
      </w:r>
    </w:p>
    <w:p w:rsidR="007D1FB6" w:rsidRDefault="007D1FB6" w:rsidP="00AB74A4">
      <w:pPr>
        <w:spacing w:after="100" w:line="288" w:lineRule="auto"/>
        <w:jc w:val="center"/>
      </w:pPr>
      <w:r>
        <w:object w:dxaOrig="6020" w:dyaOrig="4609">
          <v:shape id="_x0000_i1034" type="#_x0000_t75" style="width:315pt;height:240.85pt" o:ole="">
            <v:imagedata r:id="rId27" o:title=""/>
          </v:shape>
          <o:OLEObject Type="Embed" ProgID="Origin95.Graph" ShapeID="_x0000_i1034" DrawAspect="Content" ObjectID="_1843488956" r:id="rId28"/>
        </w:object>
      </w:r>
    </w:p>
    <w:p w:rsidR="007D1FB6" w:rsidRDefault="007D1FB6" w:rsidP="00232A4D">
      <w:pPr>
        <w:spacing w:after="100" w:line="288" w:lineRule="auto"/>
        <w:jc w:val="both"/>
      </w:pPr>
      <w:r w:rsidRPr="00BA21C9">
        <w:t xml:space="preserve">Figure </w:t>
      </w:r>
      <w:r w:rsidR="00BA21C9" w:rsidRPr="00BA21C9">
        <w:t>s11</w:t>
      </w:r>
      <w:r w:rsidRPr="00F2755B">
        <w:rPr>
          <w:i/>
          <w:iCs/>
        </w:rPr>
        <w:t xml:space="preserve">. </w:t>
      </w:r>
      <w:r w:rsidRPr="00F2755B">
        <w:t xml:space="preserve">Electronic emission spectra of a solution of ligand </w:t>
      </w:r>
      <w:r w:rsidRPr="00412CEB">
        <w:rPr>
          <w:b/>
          <w:bCs/>
        </w:rPr>
        <w:t xml:space="preserve">1 </w:t>
      </w:r>
      <w:r w:rsidRPr="00F2755B">
        <w:t xml:space="preserve">at different concentrations of barium (II) perchlorate. The initial concentration of ligand </w:t>
      </w:r>
      <w:r>
        <w:rPr>
          <w:b/>
          <w:bCs/>
        </w:rPr>
        <w:t xml:space="preserve">1 </w:t>
      </w:r>
      <w:r w:rsidRPr="00F2755B">
        <w:t xml:space="preserve">= 10 </w:t>
      </w:r>
      <w:r w:rsidRPr="00F2755B">
        <w:rPr>
          <w:vertAlign w:val="superscript"/>
        </w:rPr>
        <w:t xml:space="preserve">-5 </w:t>
      </w:r>
      <w:r w:rsidRPr="00F2755B">
        <w:t xml:space="preserve">M, the concentration of barium perchlorate varies in the range of 0–10 </w:t>
      </w:r>
      <w:r w:rsidRPr="00F2755B">
        <w:rPr>
          <w:vertAlign w:val="superscript"/>
        </w:rPr>
        <w:t xml:space="preserve">-3 </w:t>
      </w:r>
      <w:r w:rsidRPr="00F2755B">
        <w:t>M. Solvent – acetonitrile.</w:t>
      </w:r>
    </w:p>
    <w:p w:rsidR="007D1FB6" w:rsidRPr="00042CCA" w:rsidRDefault="007D1FB6" w:rsidP="00AB74A4">
      <w:pPr>
        <w:spacing w:after="100" w:line="288" w:lineRule="auto"/>
        <w:jc w:val="both"/>
        <w:rPr>
          <w:sz w:val="28"/>
          <w:szCs w:val="28"/>
        </w:rPr>
      </w:pPr>
    </w:p>
    <w:p w:rsidR="007D1FB6" w:rsidRDefault="00E906B3" w:rsidP="00AB74A4">
      <w:pPr>
        <w:spacing w:after="100" w:line="288" w:lineRule="auto"/>
        <w:jc w:val="center"/>
      </w:pPr>
      <w:r>
        <w:object w:dxaOrig="8836" w:dyaOrig="6753">
          <v:shape id="_x0000_i1035" type="#_x0000_t75" style="width:339pt;height:258.45pt" o:ole="">
            <v:imagedata r:id="rId29" o:title=""/>
          </v:shape>
          <o:OLEObject Type="Embed" ProgID="Origin50.Graph" ShapeID="_x0000_i1035" DrawAspect="Content" ObjectID="_1843488957" r:id="rId30"/>
        </w:object>
      </w:r>
    </w:p>
    <w:p w:rsidR="007D1FB6" w:rsidRDefault="007D1FB6" w:rsidP="00232A4D">
      <w:pPr>
        <w:spacing w:after="100" w:line="288" w:lineRule="auto"/>
        <w:jc w:val="both"/>
      </w:pPr>
      <w:r w:rsidRPr="00BA21C9">
        <w:t xml:space="preserve">Figure </w:t>
      </w:r>
      <w:r w:rsidR="00BA21C9" w:rsidRPr="00BA21C9">
        <w:t>s12</w:t>
      </w:r>
      <w:r w:rsidRPr="00F2755B">
        <w:rPr>
          <w:i/>
          <w:iCs/>
        </w:rPr>
        <w:t xml:space="preserve">. </w:t>
      </w:r>
      <w:r w:rsidRPr="00F2755B">
        <w:t xml:space="preserve">Electronic absorption spectra of a solution of ligand </w:t>
      </w:r>
      <w:r w:rsidR="005E7671" w:rsidRPr="005E7671">
        <w:rPr>
          <w:b/>
          <w:bCs/>
        </w:rPr>
        <w:t xml:space="preserve">1 </w:t>
      </w:r>
      <w:r w:rsidRPr="00F2755B">
        <w:t xml:space="preserve">at different concentrations of mercury (II) perchlorate. The initial concentration of ligand </w:t>
      </w:r>
      <w:r w:rsidR="005E7671" w:rsidRPr="005E7671">
        <w:rPr>
          <w:b/>
          <w:bCs/>
        </w:rPr>
        <w:t xml:space="preserve">1 </w:t>
      </w:r>
      <w:r w:rsidRPr="00F2755B">
        <w:t xml:space="preserve">= 10 </w:t>
      </w:r>
      <w:r w:rsidRPr="00F2755B">
        <w:rPr>
          <w:vertAlign w:val="superscript"/>
        </w:rPr>
        <w:t xml:space="preserve">-5 </w:t>
      </w:r>
      <w:r w:rsidRPr="00F2755B">
        <w:t xml:space="preserve">M, the concentration of mercury perchlorate varies in the range of 0–10 </w:t>
      </w:r>
      <w:r w:rsidRPr="00F2755B">
        <w:rPr>
          <w:vertAlign w:val="superscript"/>
        </w:rPr>
        <w:t xml:space="preserve">-3 </w:t>
      </w:r>
      <w:r w:rsidRPr="00F2755B">
        <w:t>M. Solvent – acetonitrile.</w:t>
      </w:r>
    </w:p>
    <w:p w:rsidR="007D1FB6" w:rsidRDefault="007D1FB6" w:rsidP="00AB74A4">
      <w:pPr>
        <w:spacing w:after="100" w:line="288" w:lineRule="auto"/>
        <w:jc w:val="center"/>
      </w:pPr>
      <w:r>
        <w:object w:dxaOrig="6020" w:dyaOrig="4609">
          <v:shape id="_x0000_i1036" type="#_x0000_t75" style="width:326.15pt;height:249.85pt" o:ole="">
            <v:imagedata r:id="rId31" o:title=""/>
          </v:shape>
          <o:OLEObject Type="Embed" ProgID="Origin95.Graph" ShapeID="_x0000_i1036" DrawAspect="Content" ObjectID="_1843488958" r:id="rId32"/>
        </w:object>
      </w:r>
    </w:p>
    <w:p w:rsidR="007D1FB6" w:rsidRDefault="007D1FB6" w:rsidP="00232A4D">
      <w:pPr>
        <w:spacing w:after="100" w:line="288" w:lineRule="auto"/>
        <w:jc w:val="both"/>
      </w:pPr>
      <w:r w:rsidRPr="00BA21C9">
        <w:t xml:space="preserve">Figure </w:t>
      </w:r>
      <w:r w:rsidR="00BA21C9" w:rsidRPr="00BA21C9">
        <w:t>s12</w:t>
      </w:r>
      <w:r w:rsidRPr="00F2755B">
        <w:rPr>
          <w:i/>
          <w:iCs/>
        </w:rPr>
        <w:t xml:space="preserve">. </w:t>
      </w:r>
      <w:r w:rsidRPr="00F2755B">
        <w:t xml:space="preserve">Electronic emission spectra of a solution of ligand </w:t>
      </w:r>
      <w:r w:rsidR="005E7671" w:rsidRPr="005E7671">
        <w:rPr>
          <w:b/>
          <w:bCs/>
        </w:rPr>
        <w:t xml:space="preserve">1 </w:t>
      </w:r>
      <w:r w:rsidRPr="00F2755B">
        <w:t xml:space="preserve">at different concentrations of mercury (II) perchlorate. The initial concentration of ligand </w:t>
      </w:r>
      <w:r w:rsidR="005E7671" w:rsidRPr="005E7671">
        <w:rPr>
          <w:b/>
          <w:bCs/>
        </w:rPr>
        <w:t xml:space="preserve">1 </w:t>
      </w:r>
      <w:r w:rsidRPr="00F2755B">
        <w:t xml:space="preserve">= 10 </w:t>
      </w:r>
      <w:r w:rsidRPr="00F2755B">
        <w:rPr>
          <w:vertAlign w:val="superscript"/>
        </w:rPr>
        <w:t xml:space="preserve">-5 </w:t>
      </w:r>
      <w:r w:rsidRPr="00F2755B">
        <w:t xml:space="preserve">M, the concentration of mercury perchlorate varies in the range of 0–10 </w:t>
      </w:r>
      <w:r w:rsidRPr="00F2755B">
        <w:rPr>
          <w:vertAlign w:val="superscript"/>
        </w:rPr>
        <w:t xml:space="preserve">-3 </w:t>
      </w:r>
      <w:r w:rsidRPr="00F2755B">
        <w:t>M. Solvent – acetonitrile.</w:t>
      </w:r>
    </w:p>
    <w:p w:rsidR="007D1FB6" w:rsidRDefault="00232A4D" w:rsidP="00AB74A4">
      <w:pPr>
        <w:spacing w:after="100" w:line="288" w:lineRule="auto"/>
        <w:jc w:val="center"/>
      </w:pPr>
      <w:r>
        <w:object w:dxaOrig="8836" w:dyaOrig="6753">
          <v:shape id="_x0000_i1037" type="#_x0000_t75" style="width:402pt;height:307.7pt" o:ole="">
            <v:imagedata r:id="rId33" o:title=""/>
          </v:shape>
          <o:OLEObject Type="Embed" ProgID="Origin50.Graph" ShapeID="_x0000_i1037" DrawAspect="Content" ObjectID="_1843488959" r:id="rId34"/>
        </w:object>
      </w:r>
    </w:p>
    <w:p w:rsidR="007D1FB6" w:rsidRDefault="007D1FB6" w:rsidP="00232A4D">
      <w:pPr>
        <w:spacing w:after="100" w:line="288" w:lineRule="auto"/>
        <w:jc w:val="both"/>
      </w:pPr>
      <w:r w:rsidRPr="00BA21C9">
        <w:t xml:space="preserve">Figure </w:t>
      </w:r>
      <w:r w:rsidR="00BA21C9" w:rsidRPr="00BA21C9">
        <w:t>s13</w:t>
      </w:r>
      <w:r w:rsidR="00BA21C9">
        <w:rPr>
          <w:i/>
          <w:iCs/>
        </w:rPr>
        <w:t>.</w:t>
      </w:r>
      <w:r w:rsidRPr="00F2755B">
        <w:rPr>
          <w:i/>
          <w:iCs/>
        </w:rPr>
        <w:t xml:space="preserve"> </w:t>
      </w:r>
      <w:r w:rsidRPr="00F2755B">
        <w:t xml:space="preserve">Electronic absorption spectra of a solution of ligand </w:t>
      </w:r>
      <w:r w:rsidR="005E7671" w:rsidRPr="005E7671">
        <w:rPr>
          <w:b/>
          <w:bCs/>
        </w:rPr>
        <w:t xml:space="preserve">1 </w:t>
      </w:r>
      <w:r w:rsidR="005E7671" w:rsidRPr="005E7671">
        <w:t>in acetonitrile</w:t>
      </w:r>
      <w:r w:rsidR="005E7671">
        <w:rPr>
          <w:b/>
          <w:bCs/>
        </w:rPr>
        <w:t xml:space="preserve"> </w:t>
      </w:r>
      <w:r w:rsidR="005E7671" w:rsidRPr="005E7671">
        <w:t xml:space="preserve">(black curve), in the presence of 0.5 equiv. </w:t>
      </w:r>
      <w:r w:rsidR="005E7671">
        <w:rPr>
          <w:lang w:val="en-US"/>
        </w:rPr>
        <w:t xml:space="preserve">Cu </w:t>
      </w:r>
      <w:r w:rsidR="005E7671" w:rsidRPr="005E7671">
        <w:rPr>
          <w:vertAlign w:val="superscript"/>
        </w:rPr>
        <w:t>2+</w:t>
      </w:r>
      <w:r w:rsidR="005E7671">
        <w:rPr>
          <w:lang w:val="en-US"/>
        </w:rPr>
        <w:t> </w:t>
      </w:r>
      <w:r w:rsidR="005E7671" w:rsidRPr="005E7671">
        <w:t xml:space="preserve">(red curve), 1 </w:t>
      </w:r>
      <w:r w:rsidR="005E7671">
        <w:t xml:space="preserve">eq. </w:t>
      </w:r>
      <w:r w:rsidR="005E7671">
        <w:rPr>
          <w:lang w:val="en-US"/>
        </w:rPr>
        <w:t xml:space="preserve">Cu </w:t>
      </w:r>
      <w:r w:rsidR="005E7671" w:rsidRPr="005E7671">
        <w:rPr>
          <w:vertAlign w:val="superscript"/>
        </w:rPr>
        <w:t xml:space="preserve">2+ </w:t>
      </w:r>
      <w:r w:rsidR="005E7671" w:rsidRPr="005E7671">
        <w:t xml:space="preserve">(blue curve). Green curves show changes in the absorption spectrum of a </w:t>
      </w:r>
      <w:r w:rsidR="006E71A2">
        <w:t xml:space="preserve">1: </w:t>
      </w:r>
      <w:r w:rsidR="006E71A2">
        <w:rPr>
          <w:lang w:val="en-US"/>
        </w:rPr>
        <w:t xml:space="preserve">Cu </w:t>
      </w:r>
      <w:r w:rsidR="006E71A2" w:rsidRPr="006E71A2">
        <w:rPr>
          <w:vertAlign w:val="superscript"/>
        </w:rPr>
        <w:t xml:space="preserve">2+ </w:t>
      </w:r>
      <w:r w:rsidR="006E71A2" w:rsidRPr="006E71A2">
        <w:t xml:space="preserve">= 1:1 solution over 15 min. Initial concentration of ligand </w:t>
      </w:r>
      <w:r w:rsidR="005E7671" w:rsidRPr="005E7671">
        <w:rPr>
          <w:b/>
          <w:bCs/>
        </w:rPr>
        <w:t xml:space="preserve">1 </w:t>
      </w:r>
      <w:r w:rsidRPr="00F2755B">
        <w:t xml:space="preserve">= 10 </w:t>
      </w:r>
      <w:r w:rsidRPr="00F2755B">
        <w:rPr>
          <w:vertAlign w:val="superscript"/>
        </w:rPr>
        <w:t xml:space="preserve">-5 </w:t>
      </w:r>
      <w:r w:rsidRPr="00F2755B">
        <w:t>M.</w:t>
      </w:r>
    </w:p>
    <w:p w:rsidR="007D1FB6" w:rsidRDefault="007D1FB6" w:rsidP="00AB74A4">
      <w:pPr>
        <w:spacing w:after="100" w:line="288" w:lineRule="auto"/>
        <w:jc w:val="center"/>
      </w:pPr>
      <w:r>
        <w:object w:dxaOrig="6020" w:dyaOrig="4609">
          <v:shape id="_x0000_i1038" type="#_x0000_t75" style="width:301.7pt;height:230.15pt" o:ole="">
            <v:imagedata r:id="rId35" o:title=""/>
          </v:shape>
          <o:OLEObject Type="Embed" ProgID="Origin95.Graph" ShapeID="_x0000_i1038" DrawAspect="Content" ObjectID="_1843488960" r:id="rId36"/>
        </w:object>
      </w:r>
    </w:p>
    <w:p w:rsidR="007D1FB6" w:rsidRDefault="007D1FB6" w:rsidP="00232A4D">
      <w:pPr>
        <w:spacing w:after="100" w:line="288" w:lineRule="auto"/>
        <w:jc w:val="both"/>
      </w:pPr>
      <w:r w:rsidRPr="00BA21C9">
        <w:t xml:space="preserve">Figure </w:t>
      </w:r>
      <w:r w:rsidR="00BA21C9" w:rsidRPr="00BA21C9">
        <w:t>s14</w:t>
      </w:r>
      <w:r w:rsidRPr="00F2755B">
        <w:rPr>
          <w:i/>
          <w:iCs/>
        </w:rPr>
        <w:t xml:space="preserve">. </w:t>
      </w:r>
      <w:r w:rsidRPr="00F2755B">
        <w:t xml:space="preserve">Electronic emission spectra of a solution of ligand </w:t>
      </w:r>
      <w:r w:rsidRPr="00412CEB">
        <w:rPr>
          <w:b/>
          <w:bCs/>
        </w:rPr>
        <w:t xml:space="preserve">1 </w:t>
      </w:r>
      <w:r w:rsidRPr="00F2755B">
        <w:t xml:space="preserve">at different concentrations of copper (II) perchlorate. The initial concentration of ligand </w:t>
      </w:r>
      <w:r>
        <w:rPr>
          <w:b/>
          <w:bCs/>
        </w:rPr>
        <w:t xml:space="preserve">1 </w:t>
      </w:r>
      <w:r w:rsidRPr="00F2755B">
        <w:t xml:space="preserve">= 10 </w:t>
      </w:r>
      <w:r w:rsidRPr="00F2755B">
        <w:rPr>
          <w:vertAlign w:val="superscript"/>
        </w:rPr>
        <w:t xml:space="preserve">-5 </w:t>
      </w:r>
      <w:r w:rsidRPr="00F2755B">
        <w:t xml:space="preserve">M, the concentration of copper perchlorate varies in the range of 0–10 </w:t>
      </w:r>
      <w:r w:rsidRPr="00F2755B">
        <w:rPr>
          <w:vertAlign w:val="superscript"/>
        </w:rPr>
        <w:t xml:space="preserve">-3 </w:t>
      </w:r>
      <w:r w:rsidRPr="00F2755B">
        <w:t>M. Solvent – acetonitrile.</w:t>
      </w:r>
    </w:p>
    <w:sectPr w:rsidR="007D1FB6" w:rsidSect="00C54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ltica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CTT">
    <w:panose1 w:val="00000000000000000000"/>
    <w:charset w:val="00"/>
    <w:family w:val="auto"/>
    <w:pitch w:val="variable"/>
    <w:sig w:usb0="00000203" w:usb1="00000000" w:usb2="00000000" w:usb3="00000000" w:csb0="00000005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B4933"/>
    <w:rsid w:val="00047BCC"/>
    <w:rsid w:val="00152F3D"/>
    <w:rsid w:val="00157C92"/>
    <w:rsid w:val="00232A4D"/>
    <w:rsid w:val="005E7671"/>
    <w:rsid w:val="00630D87"/>
    <w:rsid w:val="00683E53"/>
    <w:rsid w:val="006E71A2"/>
    <w:rsid w:val="007076B7"/>
    <w:rsid w:val="007A1455"/>
    <w:rsid w:val="007B4933"/>
    <w:rsid w:val="007D1FB6"/>
    <w:rsid w:val="00883581"/>
    <w:rsid w:val="00923E78"/>
    <w:rsid w:val="00AB74A4"/>
    <w:rsid w:val="00BA21C9"/>
    <w:rsid w:val="00BB5FC6"/>
    <w:rsid w:val="00C35B6B"/>
    <w:rsid w:val="00C50026"/>
    <w:rsid w:val="00C5475E"/>
    <w:rsid w:val="00E36A0A"/>
    <w:rsid w:val="00E51CF8"/>
    <w:rsid w:val="00E8419C"/>
    <w:rsid w:val="00E906B3"/>
    <w:rsid w:val="00FA3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6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B493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493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4933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4933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4933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4933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4933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4933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4933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49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B49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B493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B493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B493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B493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B493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B493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B493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B493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7B49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B4933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7B49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B4933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7B493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B493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8">
    <w:name w:val="Intense Emphasis"/>
    <w:basedOn w:val="a0"/>
    <w:uiPriority w:val="21"/>
    <w:qFormat/>
    <w:rsid w:val="007B493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B49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szCs w:val="22"/>
      <w:lang w:eastAsia="en-US"/>
    </w:rPr>
  </w:style>
  <w:style w:type="character" w:customStyle="1" w:styleId="aa">
    <w:name w:val="Выделенная цитата Знак"/>
    <w:basedOn w:val="a0"/>
    <w:link w:val="a9"/>
    <w:uiPriority w:val="30"/>
    <w:rsid w:val="007B493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B4933"/>
    <w:rPr>
      <w:b/>
      <w:bCs/>
      <w:smallCaps/>
      <w:color w:val="2F5496" w:themeColor="accent1" w:themeShade="BF"/>
      <w:spacing w:val="5"/>
    </w:rPr>
  </w:style>
  <w:style w:type="paragraph" w:customStyle="1" w:styleId="MHC-title">
    <w:name w:val="MHC-title"/>
    <w:basedOn w:val="a"/>
    <w:rsid w:val="00683E53"/>
    <w:pPr>
      <w:tabs>
        <w:tab w:val="left" w:pos="2835"/>
      </w:tabs>
      <w:spacing w:before="480" w:after="240"/>
    </w:pPr>
    <w:rPr>
      <w:rFonts w:ascii="Baltica" w:hAnsi="Baltica"/>
      <w:b/>
      <w:sz w:val="30"/>
      <w:szCs w:val="20"/>
      <w:lang w:val="en-US"/>
    </w:rPr>
  </w:style>
  <w:style w:type="paragraph" w:customStyle="1" w:styleId="MHC-Address">
    <w:name w:val="MHC-Address"/>
    <w:basedOn w:val="a"/>
    <w:rsid w:val="00683E53"/>
    <w:rPr>
      <w:rFonts w:ascii="Times New Roman CYR" w:hAnsi="Times New Roman CYR"/>
      <w:i/>
      <w:sz w:val="20"/>
      <w:szCs w:val="20"/>
      <w:lang w:val="en-US"/>
    </w:rPr>
  </w:style>
  <w:style w:type="character" w:styleId="ac">
    <w:name w:val="Hyperlink"/>
    <w:basedOn w:val="a0"/>
    <w:uiPriority w:val="99"/>
    <w:unhideWhenUsed/>
    <w:rsid w:val="00683E53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683E5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83E5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webSettings" Target="webSettings.xml"/><Relationship Id="rId21" Type="http://schemas.openxmlformats.org/officeDocument/2006/relationships/image" Target="media/image11.emf"/><Relationship Id="rId34" Type="http://schemas.openxmlformats.org/officeDocument/2006/relationships/oleObject" Target="embeddings/oleObject13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33" Type="http://schemas.openxmlformats.org/officeDocument/2006/relationships/image" Target="media/image17.em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oleObject" Target="embeddings/oleObject6.bin"/><Relationship Id="rId29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7.png"/><Relationship Id="rId23" Type="http://schemas.openxmlformats.org/officeDocument/2006/relationships/image" Target="media/image12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oleObject" Target="embeddings/oleObject3.bin"/><Relationship Id="rId19" Type="http://schemas.openxmlformats.org/officeDocument/2006/relationships/image" Target="media/image10.emf"/><Relationship Id="rId31" Type="http://schemas.openxmlformats.org/officeDocument/2006/relationships/image" Target="media/image16.emf"/><Relationship Id="rId4" Type="http://schemas.openxmlformats.org/officeDocument/2006/relationships/hyperlink" Target="mailto:tokarev@ineos.ac.ru" TargetMode="Externa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oleObject" Target="embeddings/oleObject7.bin"/><Relationship Id="rId27" Type="http://schemas.openxmlformats.org/officeDocument/2006/relationships/image" Target="media/image14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Tokarev</dc:creator>
  <cp:keywords/>
  <dc:description/>
  <cp:lastModifiedBy>ПАС</cp:lastModifiedBy>
  <cp:revision>6</cp:revision>
  <dcterms:created xsi:type="dcterms:W3CDTF">2025-12-10T11:02:00Z</dcterms:created>
  <dcterms:modified xsi:type="dcterms:W3CDTF">2026-06-20T16:28:00Z</dcterms:modified>
</cp:coreProperties>
</file>